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E8" w:rsidRDefault="00876046">
      <w:pPr>
        <w:snapToGrid w:val="0"/>
        <w:jc w:val="center"/>
        <w:rPr>
          <w:rFonts w:ascii="华文中宋" w:eastAsia="华文中宋" w:hAnsi="华文中宋"/>
          <w:b/>
          <w:bCs/>
          <w:sz w:val="40"/>
          <w:szCs w:val="40"/>
        </w:rPr>
      </w:pPr>
      <w:r>
        <w:rPr>
          <w:rFonts w:ascii="华文中宋" w:eastAsia="华文中宋" w:hAnsi="华文中宋" w:hint="eastAsia"/>
          <w:b/>
          <w:bCs/>
          <w:sz w:val="40"/>
          <w:szCs w:val="40"/>
        </w:rPr>
        <w:t>20</w:t>
      </w:r>
      <w:r>
        <w:rPr>
          <w:rFonts w:ascii="华文中宋" w:eastAsia="华文中宋" w:hAnsi="华文中宋" w:hint="eastAsia"/>
          <w:b/>
          <w:bCs/>
          <w:sz w:val="40"/>
          <w:szCs w:val="40"/>
        </w:rPr>
        <w:t>22</w:t>
      </w:r>
      <w:r>
        <w:rPr>
          <w:rFonts w:ascii="华文中宋" w:eastAsia="华文中宋" w:hAnsi="华文中宋" w:hint="eastAsia"/>
          <w:b/>
          <w:bCs/>
          <w:sz w:val="40"/>
          <w:szCs w:val="40"/>
        </w:rPr>
        <w:t>年度</w:t>
      </w:r>
      <w:r>
        <w:rPr>
          <w:rFonts w:ascii="华文中宋" w:eastAsia="华文中宋" w:hAnsi="华文中宋" w:hint="eastAsia"/>
          <w:b/>
          <w:bCs/>
          <w:sz w:val="40"/>
          <w:szCs w:val="40"/>
        </w:rPr>
        <w:t>昌都市生态环境局类乌齐县分局</w:t>
      </w:r>
      <w:r>
        <w:rPr>
          <w:rFonts w:ascii="华文中宋" w:eastAsia="华文中宋" w:hAnsi="华文中宋" w:hint="eastAsia"/>
          <w:b/>
          <w:bCs/>
          <w:sz w:val="40"/>
          <w:szCs w:val="40"/>
        </w:rPr>
        <w:t>决算</w:t>
      </w:r>
    </w:p>
    <w:p w:rsidR="00B376E8" w:rsidRDefault="00876046">
      <w:pPr>
        <w:snapToGrid w:val="0"/>
        <w:jc w:val="center"/>
        <w:rPr>
          <w:rFonts w:ascii="华文中宋" w:eastAsia="华文中宋" w:hAnsi="华文中宋"/>
          <w:b/>
          <w:bCs/>
          <w:sz w:val="40"/>
          <w:szCs w:val="40"/>
        </w:rPr>
      </w:pPr>
      <w:r>
        <w:rPr>
          <w:rFonts w:ascii="华文中宋" w:eastAsia="华文中宋" w:hAnsi="华文中宋" w:hint="eastAsia"/>
          <w:b/>
          <w:bCs/>
          <w:sz w:val="40"/>
          <w:szCs w:val="40"/>
        </w:rPr>
        <w:t>分析报告</w:t>
      </w:r>
    </w:p>
    <w:p w:rsidR="00B376E8" w:rsidRDefault="00876046">
      <w:pPr>
        <w:snapToGrid w:val="0"/>
        <w:spacing w:line="520" w:lineRule="exact"/>
        <w:ind w:firstLineChars="200" w:firstLine="640"/>
        <w:rPr>
          <w:rFonts w:ascii="黑体" w:eastAsia="黑体" w:hAnsi="黑体"/>
          <w:sz w:val="32"/>
          <w:szCs w:val="32"/>
        </w:rPr>
      </w:pPr>
      <w:bookmarkStart w:id="0" w:name="YS060101"/>
      <w:r>
        <w:rPr>
          <w:rFonts w:ascii="黑体" w:eastAsia="黑体" w:hAnsi="黑体" w:hint="eastAsia"/>
          <w:sz w:val="32"/>
          <w:szCs w:val="32"/>
        </w:rPr>
        <w:t>一、部门情况</w:t>
      </w:r>
    </w:p>
    <w:bookmarkEnd w:id="0"/>
    <w:p w:rsidR="00B376E8" w:rsidRDefault="00876046">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（一）基本情况。</w:t>
      </w:r>
    </w:p>
    <w:p w:rsidR="00B376E8" w:rsidRDefault="00876046">
      <w:pPr>
        <w:ind w:firstLineChars="200" w:firstLine="640"/>
        <w:jc w:val="left"/>
        <w:rPr>
          <w:rFonts w:ascii="仿宋_GB2312" w:eastAsia="仿宋_GB2312" w:hAnsi="宋体"/>
          <w:sz w:val="32"/>
          <w:szCs w:val="32"/>
        </w:rPr>
      </w:pPr>
      <w:bookmarkStart w:id="1" w:name="YS060102"/>
      <w:r>
        <w:rPr>
          <w:rFonts w:ascii="仿宋_GB2312" w:eastAsia="仿宋_GB2312" w:hAnsi="宋体" w:hint="eastAsia"/>
          <w:sz w:val="32"/>
          <w:szCs w:val="32"/>
        </w:rPr>
        <w:t>根据《西藏昌都地区行署办公室关于印发〈类乌齐县人民政府机构改革方案〉的通知》（昌署办发</w:t>
      </w:r>
      <w:r>
        <w:rPr>
          <w:rFonts w:ascii="仿宋_GB2312" w:eastAsia="仿宋_GB2312" w:hAnsi="宋体" w:hint="eastAsia"/>
          <w:sz w:val="32"/>
          <w:szCs w:val="32"/>
        </w:rPr>
        <w:t>[2010]25</w:t>
      </w:r>
      <w:r>
        <w:rPr>
          <w:rFonts w:ascii="仿宋_GB2312" w:eastAsia="仿宋_GB2312" w:hAnsi="宋体" w:hint="eastAsia"/>
          <w:sz w:val="32"/>
          <w:szCs w:val="32"/>
        </w:rPr>
        <w:t>号）和《中共类乌齐县委办公室</w:t>
      </w:r>
      <w:r>
        <w:rPr>
          <w:rFonts w:ascii="仿宋_GB2312" w:eastAsia="仿宋_GB2312" w:hAnsi="宋体" w:hint="eastAsia"/>
          <w:sz w:val="32"/>
          <w:szCs w:val="32"/>
        </w:rPr>
        <w:t xml:space="preserve">  </w:t>
      </w:r>
      <w:r>
        <w:rPr>
          <w:rFonts w:ascii="仿宋_GB2312" w:eastAsia="仿宋_GB2312" w:hAnsi="宋体" w:hint="eastAsia"/>
          <w:sz w:val="32"/>
          <w:szCs w:val="32"/>
        </w:rPr>
        <w:t>类乌齐县人民政府办公室关于转发〈昌都地区机构编制委员会关于印发类乌齐县人民政府机构改革方案实施意见的通知〉的通知》（类党办发</w:t>
      </w:r>
      <w:r>
        <w:rPr>
          <w:rFonts w:ascii="仿宋_GB2312" w:eastAsia="仿宋_GB2312" w:hAnsi="宋体" w:hint="eastAsia"/>
          <w:sz w:val="32"/>
          <w:szCs w:val="32"/>
        </w:rPr>
        <w:t>[2010]5</w:t>
      </w:r>
      <w:r>
        <w:rPr>
          <w:rFonts w:ascii="仿宋_GB2312" w:eastAsia="仿宋_GB2312" w:hAnsi="宋体" w:hint="eastAsia"/>
          <w:sz w:val="32"/>
          <w:szCs w:val="32"/>
        </w:rPr>
        <w:t>号）精神，设立类乌齐县环境保护局，为政府工作部门。</w:t>
      </w:r>
    </w:p>
    <w:p w:rsidR="00B376E8" w:rsidRDefault="00876046">
      <w:pPr>
        <w:spacing w:line="600" w:lineRule="exact"/>
        <w:ind w:firstLineChars="200" w:firstLine="640"/>
        <w:rPr>
          <w:rFonts w:ascii="黑体" w:eastAsia="黑体"/>
          <w:sz w:val="30"/>
        </w:rPr>
      </w:pPr>
      <w:r>
        <w:rPr>
          <w:rFonts w:ascii="黑体" w:eastAsia="黑体" w:hint="eastAsia"/>
          <w:sz w:val="32"/>
        </w:rPr>
        <w:t>一、</w:t>
      </w:r>
      <w:r>
        <w:rPr>
          <w:rFonts w:ascii="黑体" w:eastAsia="黑体" w:hint="eastAsia"/>
          <w:sz w:val="30"/>
        </w:rPr>
        <w:t>主要职责</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为搞好我县环境保护工作，在定好编制，确定专职人员的前提下，主要职责如下：</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（一）贯彻执行环境保护方针政策和法律法规规章；拟订并监督实施全县环境保护规划和年度计划。</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（二）牵头协调重大环境污染事故和生态破坏事件调查处理；建立健全突发环境事件的应急预警机制；负责环境保护行政稽查和执法检查。</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（三）承担落实主要污染物总量减排目标的责任。组织实施排污许可证制度和环境保护目标责任制。</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（四）承担从源头上预防、控制环境污染和环境破坏的责任。受县政府委托对经济和技术政策、发展规划以及经济开发进行环境影响评价，监督管理对环境影响的建设项目执</w:t>
      </w:r>
      <w:r>
        <w:rPr>
          <w:rFonts w:ascii="仿宋_GB2312" w:eastAsia="仿宋_GB2312" w:hint="eastAsia"/>
          <w:sz w:val="32"/>
        </w:rPr>
        <w:lastRenderedPageBreak/>
        <w:t>行环境影响评价制度和“三同时”制度。</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（五）负责环境污染防治的监督管理。对大气、水体、噪声、固体废物、土壤和光、恶臭以及机动车等的污染防治和生态环境保护实施统一监督管理，组织指导城镇和农牧区</w:t>
      </w:r>
      <w:r>
        <w:rPr>
          <w:rFonts w:ascii="仿宋_GB2312" w:eastAsia="仿宋_GB2312" w:hint="eastAsia"/>
          <w:sz w:val="32"/>
        </w:rPr>
        <w:t xml:space="preserve"> </w:t>
      </w:r>
      <w:r>
        <w:rPr>
          <w:rFonts w:ascii="仿宋_GB2312" w:eastAsia="仿宋_GB2312" w:hint="eastAsia"/>
          <w:sz w:val="32"/>
        </w:rPr>
        <w:t>的环境综合整治工作。</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六）组织开展生态环境质量调查，进行生态环境质量分析和评估；监督对生态环境有影响的自然资源开发利用活动、生态环境建设和生态破坏恢复工作；组织协调生物多样性保护，协调和监督生物植物保护、湿地环境保护工作牵头生物物种工作；参与指导推动发展循环经济有关工作；参与应对气候变化工作。</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（七）负责核安全和辐射安全的监督管理。监督管理放射源安全、电</w:t>
      </w:r>
      <w:r>
        <w:rPr>
          <w:rFonts w:ascii="仿宋_GB2312" w:eastAsia="仿宋_GB2312" w:hint="eastAsia"/>
          <w:sz w:val="32"/>
        </w:rPr>
        <w:t>磁辐射、伴有放射性矿产资源开发利用中的污染防治工作；组织开展辐射环境监测工作；负责辐射环境事故应急处理工作。</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（八）负责环境监测网络；环境统计和环境信息系统的建设和管理。</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（九）组织开展生态文明建设和环境友好社会建设宣传教育工作；组织、指导和协助环境保护宣传教育工作；推动社会公众和社会组织参与环境保护。</w:t>
      </w:r>
    </w:p>
    <w:p w:rsidR="00B376E8" w:rsidRDefault="00876046">
      <w:pPr>
        <w:spacing w:line="600" w:lineRule="exact"/>
        <w:ind w:firstLineChars="200" w:firstLine="640"/>
        <w:rPr>
          <w:rFonts w:ascii="仿宋_GB2312" w:eastAsia="仿宋_GB2312"/>
          <w:sz w:val="32"/>
        </w:rPr>
      </w:pPr>
      <w:r>
        <w:rPr>
          <w:rFonts w:ascii="仿宋_GB2312" w:eastAsia="仿宋_GB2312" w:hint="eastAsia"/>
          <w:sz w:val="32"/>
        </w:rPr>
        <w:t>（十）承办县政府和上级部门交办的其他事项。</w:t>
      </w:r>
    </w:p>
    <w:p w:rsidR="00B376E8" w:rsidRDefault="00876046">
      <w:pPr>
        <w:spacing w:line="600" w:lineRule="exact"/>
        <w:ind w:firstLineChars="250" w:firstLine="803"/>
        <w:rPr>
          <w:rFonts w:ascii="仿宋_GB2312" w:eastAsia="仿宋_GB2312"/>
          <w:b/>
          <w:bCs/>
          <w:sz w:val="32"/>
        </w:rPr>
      </w:pPr>
      <w:r>
        <w:rPr>
          <w:rFonts w:ascii="仿宋_GB2312" w:eastAsia="仿宋_GB2312" w:hint="eastAsia"/>
          <w:b/>
          <w:bCs/>
          <w:sz w:val="32"/>
        </w:rPr>
        <w:t>二、人员编制和领导职数</w:t>
      </w:r>
    </w:p>
    <w:p w:rsidR="00B376E8" w:rsidRDefault="00876046">
      <w:pPr>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w:t>
      </w:r>
      <w:r>
        <w:rPr>
          <w:rFonts w:ascii="仿宋_GB2312" w:eastAsia="仿宋_GB2312" w:hint="eastAsia"/>
          <w:sz w:val="32"/>
        </w:rPr>
        <w:t>我</w:t>
      </w:r>
      <w:r>
        <w:rPr>
          <w:rFonts w:ascii="仿宋_GB2312" w:eastAsia="仿宋_GB2312" w:hint="eastAsia"/>
          <w:sz w:val="32"/>
        </w:rPr>
        <w:t>分</w:t>
      </w:r>
      <w:r>
        <w:rPr>
          <w:rFonts w:ascii="仿宋_GB2312" w:eastAsia="仿宋_GB2312" w:hint="eastAsia"/>
          <w:sz w:val="32"/>
        </w:rPr>
        <w:t>局编制为</w:t>
      </w:r>
      <w:r>
        <w:rPr>
          <w:rFonts w:ascii="仿宋_GB2312" w:eastAsia="仿宋_GB2312" w:hint="eastAsia"/>
          <w:sz w:val="32"/>
        </w:rPr>
        <w:t>3</w:t>
      </w:r>
      <w:r>
        <w:rPr>
          <w:rFonts w:ascii="仿宋_GB2312" w:eastAsia="仿宋_GB2312" w:hint="eastAsia"/>
          <w:sz w:val="32"/>
        </w:rPr>
        <w:t>名。其中正科级领导职数为</w:t>
      </w:r>
      <w:r>
        <w:rPr>
          <w:rFonts w:ascii="仿宋_GB2312" w:eastAsia="仿宋_GB2312" w:hint="eastAsia"/>
          <w:sz w:val="32"/>
        </w:rPr>
        <w:t>1</w:t>
      </w:r>
      <w:r>
        <w:rPr>
          <w:rFonts w:ascii="仿宋_GB2312" w:eastAsia="仿宋_GB2312" w:hint="eastAsia"/>
          <w:sz w:val="32"/>
        </w:rPr>
        <w:t>名，</w:t>
      </w:r>
      <w:r>
        <w:rPr>
          <w:rFonts w:ascii="仿宋_GB2312" w:eastAsia="仿宋_GB2312" w:hint="eastAsia"/>
          <w:sz w:val="32"/>
        </w:rPr>
        <w:lastRenderedPageBreak/>
        <w:t>副科级领导职数为</w:t>
      </w:r>
      <w:r>
        <w:rPr>
          <w:rFonts w:ascii="仿宋_GB2312" w:eastAsia="仿宋_GB2312" w:hint="eastAsia"/>
          <w:sz w:val="32"/>
        </w:rPr>
        <w:t>1</w:t>
      </w:r>
      <w:r>
        <w:rPr>
          <w:rFonts w:ascii="仿宋_GB2312" w:eastAsia="仿宋_GB2312" w:hint="eastAsia"/>
          <w:sz w:val="32"/>
        </w:rPr>
        <w:t>名</w:t>
      </w:r>
      <w:r>
        <w:rPr>
          <w:rFonts w:ascii="仿宋_GB2312" w:eastAsia="仿宋_GB2312"/>
          <w:sz w:val="32"/>
        </w:rPr>
        <w:t>,</w:t>
      </w:r>
      <w:r>
        <w:rPr>
          <w:rFonts w:ascii="仿宋_GB2312" w:eastAsia="仿宋_GB2312" w:hint="eastAsia"/>
          <w:sz w:val="32"/>
        </w:rPr>
        <w:t>单位实有在编人数</w:t>
      </w:r>
      <w:r>
        <w:rPr>
          <w:rFonts w:ascii="仿宋_GB2312" w:eastAsia="仿宋_GB2312" w:hint="eastAsia"/>
          <w:sz w:val="32"/>
        </w:rPr>
        <w:t>5</w:t>
      </w:r>
      <w:r>
        <w:rPr>
          <w:rFonts w:ascii="仿宋_GB2312" w:eastAsia="仿宋_GB2312" w:hint="eastAsia"/>
          <w:sz w:val="32"/>
        </w:rPr>
        <w:t>人。</w:t>
      </w:r>
    </w:p>
    <w:p w:rsidR="00B376E8" w:rsidRDefault="00876046">
      <w:pPr>
        <w:ind w:firstLineChars="200" w:firstLine="600"/>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、其他人员。</w:t>
      </w:r>
    </w:p>
    <w:p w:rsidR="00B376E8" w:rsidRDefault="00876046">
      <w:pPr>
        <w:spacing w:line="600" w:lineRule="exact"/>
        <w:ind w:firstLineChars="200" w:firstLine="600"/>
        <w:rPr>
          <w:rFonts w:ascii="仿宋_GB2312" w:eastAsia="仿宋"/>
          <w:sz w:val="32"/>
        </w:rPr>
      </w:pPr>
      <w:r>
        <w:rPr>
          <w:rFonts w:ascii="仿宋" w:eastAsia="仿宋" w:hAnsi="仿宋" w:cs="仿宋" w:hint="eastAsia"/>
          <w:sz w:val="30"/>
          <w:szCs w:val="30"/>
        </w:rPr>
        <w:t>公益性岗位</w:t>
      </w:r>
      <w:r>
        <w:rPr>
          <w:rFonts w:ascii="仿宋" w:eastAsia="仿宋" w:hAnsi="仿宋" w:cs="仿宋"/>
          <w:sz w:val="30"/>
          <w:szCs w:val="30"/>
        </w:rPr>
        <w:t>2</w:t>
      </w:r>
      <w:r>
        <w:rPr>
          <w:rFonts w:ascii="仿宋" w:eastAsia="仿宋" w:hAnsi="仿宋" w:cs="仿宋" w:hint="eastAsia"/>
          <w:sz w:val="30"/>
          <w:szCs w:val="30"/>
        </w:rPr>
        <w:t>人</w:t>
      </w:r>
      <w:r>
        <w:rPr>
          <w:rFonts w:ascii="仿宋" w:eastAsia="仿宋" w:hAnsi="仿宋" w:cs="仿宋" w:hint="eastAsia"/>
          <w:sz w:val="30"/>
          <w:szCs w:val="30"/>
        </w:rPr>
        <w:t>，三支一扶</w:t>
      </w:r>
      <w:r>
        <w:rPr>
          <w:rFonts w:ascii="仿宋" w:eastAsia="仿宋" w:hAnsi="仿宋" w:cs="仿宋"/>
          <w:sz w:val="30"/>
          <w:szCs w:val="30"/>
        </w:rPr>
        <w:t>1</w:t>
      </w:r>
      <w:r>
        <w:rPr>
          <w:rFonts w:ascii="仿宋" w:eastAsia="仿宋" w:hAnsi="仿宋" w:cs="仿宋" w:hint="eastAsia"/>
          <w:sz w:val="30"/>
          <w:szCs w:val="30"/>
        </w:rPr>
        <w:t>人。</w:t>
      </w:r>
    </w:p>
    <w:p w:rsidR="00B376E8" w:rsidRDefault="00876046">
      <w:pPr>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二、收入支出预算执行情况分析</w:t>
      </w:r>
    </w:p>
    <w:bookmarkEnd w:id="1"/>
    <w:p w:rsidR="00B376E8" w:rsidRDefault="00876046">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、本年度年初预算收入</w:t>
      </w:r>
      <w:r>
        <w:rPr>
          <w:rFonts w:ascii="仿宋_GB2312" w:eastAsia="仿宋_GB2312" w:hAnsi="仿宋_GB2312" w:cs="仿宋_GB2312"/>
          <w:sz w:val="32"/>
          <w:szCs w:val="32"/>
        </w:rPr>
        <w:t>11677445.67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年底预算总指标为</w:t>
      </w:r>
      <w:r>
        <w:rPr>
          <w:rFonts w:ascii="仿宋_GB2312" w:eastAsia="仿宋_GB2312" w:hAnsi="仿宋_GB2312" w:cs="仿宋_GB2312"/>
          <w:sz w:val="32"/>
          <w:szCs w:val="32"/>
        </w:rPr>
        <w:t>11677445.67</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年我分局年初预算</w:t>
      </w:r>
      <w:r>
        <w:rPr>
          <w:rFonts w:ascii="仿宋_GB2312" w:eastAsia="仿宋_GB2312" w:hAnsi="仿宋_GB2312" w:cs="仿宋_GB2312"/>
          <w:sz w:val="32"/>
          <w:szCs w:val="32"/>
        </w:rPr>
        <w:t>66281817.53</w:t>
      </w:r>
      <w:r>
        <w:rPr>
          <w:rFonts w:ascii="仿宋_GB2312" w:eastAsia="仿宋_GB2312" w:hAnsi="仿宋_GB2312" w:cs="仿宋_GB2312" w:hint="eastAsia"/>
          <w:sz w:val="32"/>
          <w:szCs w:val="32"/>
        </w:rPr>
        <w:t>元，年底预算总指标为</w:t>
      </w:r>
      <w:r>
        <w:rPr>
          <w:rFonts w:ascii="仿宋_GB2312" w:eastAsia="仿宋_GB2312" w:hAnsi="仿宋_GB2312" w:cs="仿宋_GB2312"/>
          <w:sz w:val="32"/>
          <w:szCs w:val="32"/>
        </w:rPr>
        <w:t>66281817.53</w:t>
      </w:r>
      <w:r>
        <w:rPr>
          <w:rFonts w:ascii="仿宋_GB2312" w:eastAsia="仿宋_GB2312" w:hAnsi="仿宋_GB2312" w:cs="仿宋_GB2312" w:hint="eastAsia"/>
          <w:sz w:val="32"/>
          <w:szCs w:val="32"/>
        </w:rPr>
        <w:t>元；</w:t>
      </w:r>
    </w:p>
    <w:p w:rsidR="00B376E8" w:rsidRDefault="00876046">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（二）收入支出预算执行情况。</w:t>
      </w:r>
    </w:p>
    <w:p w:rsidR="00B376E8" w:rsidRDefault="00876046">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年我分局预算执行数为</w:t>
      </w:r>
      <w:r>
        <w:rPr>
          <w:rFonts w:ascii="仿宋_GB2312" w:eastAsia="仿宋_GB2312" w:hAnsi="仿宋_GB2312" w:cs="仿宋_GB2312"/>
          <w:sz w:val="32"/>
          <w:szCs w:val="32"/>
        </w:rPr>
        <w:t>11677445.67</w:t>
      </w:r>
      <w:r>
        <w:rPr>
          <w:rFonts w:ascii="仿宋_GB2312" w:eastAsia="仿宋_GB2312" w:hAnsi="仿宋_GB2312" w:cs="仿宋_GB2312" w:hint="eastAsia"/>
          <w:sz w:val="32"/>
          <w:szCs w:val="32"/>
        </w:rPr>
        <w:t>元，年末结转</w:t>
      </w:r>
      <w:r>
        <w:rPr>
          <w:rFonts w:ascii="仿宋_GB2312" w:eastAsia="仿宋_GB2312" w:hAnsi="仿宋_GB2312" w:cs="仿宋_GB2312"/>
          <w:sz w:val="32"/>
          <w:szCs w:val="32"/>
        </w:rPr>
        <w:t>57.75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年我分局预算执行数</w:t>
      </w:r>
      <w:r>
        <w:rPr>
          <w:rFonts w:ascii="仿宋_GB2312" w:eastAsia="仿宋_GB2312" w:hAnsi="仿宋_GB2312" w:cs="仿宋_GB2312"/>
          <w:sz w:val="32"/>
          <w:szCs w:val="32"/>
        </w:rPr>
        <w:t>66281817.53</w:t>
      </w:r>
      <w:r>
        <w:rPr>
          <w:rFonts w:ascii="仿宋_GB2312" w:eastAsia="仿宋_GB2312" w:hAnsi="仿宋_GB2312" w:cs="仿宋_GB2312" w:hint="eastAsia"/>
          <w:sz w:val="32"/>
          <w:szCs w:val="32"/>
        </w:rPr>
        <w:t>元，年末结转</w:t>
      </w:r>
      <w:r>
        <w:rPr>
          <w:rFonts w:ascii="仿宋_GB2312" w:eastAsia="仿宋_GB2312" w:hAnsi="仿宋_GB2312" w:cs="仿宋_GB2312"/>
          <w:sz w:val="32"/>
          <w:szCs w:val="32"/>
        </w:rPr>
        <w:t>221174.38</w:t>
      </w:r>
      <w:r>
        <w:rPr>
          <w:rFonts w:ascii="仿宋_GB2312" w:eastAsia="仿宋_GB2312" w:hAnsi="仿宋_GB2312" w:cs="仿宋_GB2312" w:hint="eastAsia"/>
          <w:sz w:val="32"/>
          <w:szCs w:val="32"/>
        </w:rPr>
        <w:t>元。</w:t>
      </w:r>
    </w:p>
    <w:p w:rsidR="00B376E8" w:rsidRDefault="00B376E8">
      <w:pPr>
        <w:snapToGrid w:val="0"/>
        <w:spacing w:line="520" w:lineRule="exact"/>
        <w:ind w:firstLineChars="200" w:firstLine="600"/>
        <w:rPr>
          <w:rFonts w:ascii="仿宋_GB2312" w:eastAsia="仿宋_GB2312" w:hAnsi="仿宋_GB2312" w:cs="仿宋_GB2312"/>
          <w:sz w:val="32"/>
          <w:szCs w:val="32"/>
        </w:rPr>
      </w:pPr>
      <w:r w:rsidRPr="00B376E8">
        <w:rPr>
          <w:rFonts w:ascii="仿宋_GB2312" w:eastAsia="仿宋_GB2312" w:hAnsi="仿宋_GB2312" w:cs="仿宋_GB2312"/>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6" o:spid="_x0000_s1026" type="#_x0000_t75" style="position:absolute;left:0;text-align:left;margin-left:60.3pt;margin-top:5.6pt;width:273.25pt;height:132.35pt;z-index:251659264;mso-width-relative:page;mso-height-relative:page">
            <v:imagedata r:id="rId6" o:title=""/>
          </v:shape>
          <o:OLEObject Type="Embed" ProgID="Excel.Chart.8" ShapeID="Object 46" DrawAspect="Content" ObjectID="_1769932602" r:id="rId7"/>
        </w:pict>
      </w: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876046">
      <w:pPr>
        <w:numPr>
          <w:ilvl w:val="0"/>
          <w:numId w:val="1"/>
        </w:numPr>
        <w:snapToGrid w:val="0"/>
        <w:spacing w:line="520" w:lineRule="exact"/>
        <w:ind w:firstLineChars="200" w:firstLine="640"/>
        <w:rPr>
          <w:rFonts w:ascii="仿宋_GB2312" w:eastAsia="仿宋_GB2312" w:hAnsi="仿宋"/>
          <w:b/>
          <w:sz w:val="32"/>
          <w:szCs w:val="32"/>
        </w:rPr>
      </w:pPr>
      <w:r>
        <w:rPr>
          <w:rFonts w:ascii="仿宋" w:eastAsia="仿宋" w:hAnsi="仿宋" w:cs="仿宋" w:hint="eastAsia"/>
          <w:sz w:val="32"/>
          <w:szCs w:val="32"/>
        </w:rPr>
        <w:t xml:space="preserve"> </w:t>
      </w:r>
      <w:r>
        <w:rPr>
          <w:rFonts w:ascii="仿宋_GB2312" w:eastAsia="仿宋_GB2312" w:hAnsi="仿宋" w:hint="eastAsia"/>
          <w:b/>
          <w:sz w:val="32"/>
          <w:szCs w:val="32"/>
        </w:rPr>
        <w:t>收入支出与预算对比分析。</w:t>
      </w:r>
    </w:p>
    <w:p w:rsidR="00B376E8" w:rsidRDefault="00876046">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预、决算差异情况，可分收入支出功能科目、分单位、分收入支出具体项目逐项对比（可列表）。</w:t>
      </w:r>
    </w:p>
    <w:p w:rsidR="00B376E8" w:rsidRDefault="00876046">
      <w:pPr>
        <w:snapToGrid w:val="0"/>
        <w:spacing w:line="520" w:lineRule="exact"/>
        <w:rPr>
          <w:rFonts w:ascii="仿宋" w:eastAsia="仿宋" w:hAnsi="仿宋" w:cs="仿宋"/>
          <w:sz w:val="24"/>
        </w:rPr>
      </w:pPr>
      <w:r>
        <w:rPr>
          <w:rFonts w:ascii="仿宋" w:eastAsia="仿宋" w:hAnsi="仿宋" w:cs="仿宋" w:hint="eastAsia"/>
          <w:sz w:val="32"/>
          <w:szCs w:val="32"/>
        </w:rP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2"/>
        <w:gridCol w:w="2167"/>
        <w:gridCol w:w="1701"/>
      </w:tblGrid>
      <w:tr w:rsidR="00B376E8">
        <w:trPr>
          <w:trHeight w:val="308"/>
        </w:trPr>
        <w:tc>
          <w:tcPr>
            <w:tcW w:w="3152" w:type="dxa"/>
            <w:vAlign w:val="center"/>
          </w:tcPr>
          <w:p w:rsidR="00B376E8" w:rsidRDefault="00876046">
            <w:pPr>
              <w:widowControl/>
              <w:ind w:firstLineChars="500" w:firstLine="1200"/>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2167" w:type="dxa"/>
            <w:vAlign w:val="center"/>
          </w:tcPr>
          <w:p w:rsidR="00B376E8" w:rsidRDefault="00876046">
            <w:pPr>
              <w:widowControl/>
              <w:ind w:right="440"/>
              <w:rPr>
                <w:rFonts w:ascii="仿宋" w:eastAsia="仿宋" w:hAnsi="仿宋" w:cs="仿宋"/>
                <w:color w:val="000000"/>
                <w:kern w:val="0"/>
                <w:sz w:val="24"/>
              </w:rPr>
            </w:pPr>
            <w:r>
              <w:rPr>
                <w:rFonts w:ascii="仿宋" w:eastAsia="仿宋" w:hAnsi="仿宋" w:cs="仿宋" w:hint="eastAsia"/>
                <w:color w:val="000000"/>
                <w:kern w:val="0"/>
                <w:sz w:val="24"/>
              </w:rPr>
              <w:t>预算数（元）</w:t>
            </w:r>
          </w:p>
        </w:tc>
        <w:tc>
          <w:tcPr>
            <w:tcW w:w="1701" w:type="dxa"/>
            <w:vAlign w:val="center"/>
          </w:tcPr>
          <w:p w:rsidR="00B376E8" w:rsidRDefault="00876046">
            <w:pPr>
              <w:widowControl/>
              <w:ind w:right="440"/>
              <w:rPr>
                <w:rFonts w:ascii="仿宋" w:eastAsia="仿宋" w:hAnsi="仿宋" w:cs="仿宋"/>
                <w:color w:val="000000"/>
                <w:kern w:val="0"/>
                <w:sz w:val="24"/>
              </w:rPr>
            </w:pPr>
            <w:r>
              <w:rPr>
                <w:rFonts w:ascii="仿宋" w:eastAsia="仿宋" w:hAnsi="仿宋" w:cs="仿宋" w:hint="eastAsia"/>
                <w:color w:val="000000"/>
                <w:kern w:val="0"/>
                <w:sz w:val="24"/>
              </w:rPr>
              <w:t>决算支出数（元）</w:t>
            </w:r>
          </w:p>
        </w:tc>
      </w:tr>
      <w:tr w:rsidR="00B376E8">
        <w:trPr>
          <w:trHeight w:val="308"/>
        </w:trPr>
        <w:tc>
          <w:tcPr>
            <w:tcW w:w="3152" w:type="dxa"/>
            <w:vAlign w:val="center"/>
          </w:tcPr>
          <w:p w:rsidR="00B376E8" w:rsidRDefault="00876046">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合计</w:t>
            </w:r>
          </w:p>
        </w:tc>
        <w:tc>
          <w:tcPr>
            <w:tcW w:w="2167" w:type="dxa"/>
            <w:vAlign w:val="center"/>
          </w:tcPr>
          <w:p w:rsidR="00B376E8" w:rsidRDefault="00B376E8">
            <w:pPr>
              <w:widowControl/>
              <w:jc w:val="right"/>
              <w:rPr>
                <w:rFonts w:ascii="仿宋" w:eastAsia="仿宋" w:hAnsi="仿宋" w:cs="仿宋"/>
                <w:color w:val="000000"/>
                <w:kern w:val="0"/>
                <w:sz w:val="24"/>
              </w:rPr>
            </w:pPr>
          </w:p>
        </w:tc>
        <w:tc>
          <w:tcPr>
            <w:tcW w:w="1701" w:type="dxa"/>
            <w:vAlign w:val="center"/>
          </w:tcPr>
          <w:p w:rsidR="00B376E8" w:rsidRDefault="00B376E8">
            <w:pPr>
              <w:widowControl/>
              <w:jc w:val="right"/>
              <w:rPr>
                <w:rFonts w:ascii="仿宋" w:eastAsia="仿宋" w:hAnsi="仿宋" w:cs="仿宋"/>
                <w:color w:val="000000"/>
                <w:kern w:val="0"/>
                <w:sz w:val="24"/>
              </w:rPr>
            </w:pPr>
          </w:p>
        </w:tc>
      </w:tr>
      <w:tr w:rsidR="00B376E8">
        <w:trPr>
          <w:trHeight w:val="308"/>
        </w:trPr>
        <w:tc>
          <w:tcPr>
            <w:tcW w:w="3152" w:type="dxa"/>
            <w:vAlign w:val="center"/>
          </w:tcPr>
          <w:p w:rsidR="00B376E8" w:rsidRDefault="00876046">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一般行政管理实务</w:t>
            </w:r>
          </w:p>
        </w:tc>
        <w:tc>
          <w:tcPr>
            <w:tcW w:w="2167" w:type="dxa"/>
            <w:vAlign w:val="center"/>
          </w:tcPr>
          <w:tbl>
            <w:tblPr>
              <w:tblW w:w="31680" w:type="dxa"/>
              <w:tblCellSpacing w:w="0" w:type="dxa"/>
              <w:tblLayout w:type="fixed"/>
              <w:tblCellMar>
                <w:left w:w="0" w:type="dxa"/>
                <w:right w:w="0" w:type="dxa"/>
              </w:tblCellMar>
              <w:tblLook w:val="04A0"/>
            </w:tblPr>
            <w:tblGrid>
              <w:gridCol w:w="15840"/>
              <w:gridCol w:w="15840"/>
            </w:tblGrid>
            <w:tr w:rsidR="00B376E8">
              <w:trPr>
                <w:tblCellSpacing w:w="0" w:type="dxa"/>
              </w:trPr>
              <w:tc>
                <w:tcPr>
                  <w:tcW w:w="16200" w:type="dxa"/>
                  <w:vAlign w:val="center"/>
                </w:tcPr>
                <w:p w:rsidR="00B376E8" w:rsidRDefault="00876046">
                  <w:pPr>
                    <w:widowControl/>
                    <w:jc w:val="left"/>
                  </w:pPr>
                  <w:r>
                    <w:rPr>
                      <w:rFonts w:ascii="宋体" w:hAnsi="宋体" w:cs="宋体"/>
                      <w:kern w:val="0"/>
                      <w:sz w:val="24"/>
                      <w:lang/>
                    </w:rPr>
                    <w:t>11677445.67</w:t>
                  </w:r>
                </w:p>
              </w:tc>
              <w:tc>
                <w:tcPr>
                  <w:tcW w:w="16200" w:type="dxa"/>
                  <w:vAlign w:val="center"/>
                </w:tcPr>
                <w:p w:rsidR="00B376E8" w:rsidRDefault="00B376E8">
                  <w:pPr>
                    <w:rPr>
                      <w:rFonts w:ascii="宋体"/>
                      <w:sz w:val="24"/>
                    </w:rPr>
                  </w:pPr>
                </w:p>
              </w:tc>
            </w:tr>
          </w:tbl>
          <w:p w:rsidR="00B376E8" w:rsidRDefault="00B376E8">
            <w:pPr>
              <w:widowControl/>
              <w:jc w:val="right"/>
              <w:rPr>
                <w:rFonts w:ascii="仿宋" w:eastAsia="仿宋" w:hAnsi="仿宋" w:cs="仿宋"/>
                <w:color w:val="000000"/>
                <w:kern w:val="0"/>
                <w:sz w:val="24"/>
              </w:rPr>
            </w:pPr>
          </w:p>
        </w:tc>
        <w:tc>
          <w:tcPr>
            <w:tcW w:w="1701" w:type="dxa"/>
            <w:vAlign w:val="center"/>
          </w:tcPr>
          <w:tbl>
            <w:tblPr>
              <w:tblW w:w="31680" w:type="dxa"/>
              <w:tblCellSpacing w:w="0" w:type="dxa"/>
              <w:tblLayout w:type="fixed"/>
              <w:tblCellMar>
                <w:left w:w="0" w:type="dxa"/>
                <w:right w:w="0" w:type="dxa"/>
              </w:tblCellMar>
              <w:tblLook w:val="04A0"/>
            </w:tblPr>
            <w:tblGrid>
              <w:gridCol w:w="15840"/>
              <w:gridCol w:w="15840"/>
            </w:tblGrid>
            <w:tr w:rsidR="00B376E8">
              <w:trPr>
                <w:tblCellSpacing w:w="0" w:type="dxa"/>
              </w:trPr>
              <w:tc>
                <w:tcPr>
                  <w:tcW w:w="16200" w:type="dxa"/>
                  <w:vAlign w:val="center"/>
                </w:tcPr>
                <w:p w:rsidR="00B376E8" w:rsidRDefault="00876046">
                  <w:pPr>
                    <w:widowControl/>
                    <w:jc w:val="left"/>
                  </w:pPr>
                  <w:r>
                    <w:rPr>
                      <w:rFonts w:ascii="宋体" w:hAnsi="宋体" w:cs="宋体"/>
                      <w:kern w:val="0"/>
                      <w:sz w:val="24"/>
                      <w:lang/>
                    </w:rPr>
                    <w:t>11677445.67</w:t>
                  </w:r>
                </w:p>
              </w:tc>
              <w:tc>
                <w:tcPr>
                  <w:tcW w:w="16200" w:type="dxa"/>
                  <w:vAlign w:val="center"/>
                </w:tcPr>
                <w:p w:rsidR="00B376E8" w:rsidRDefault="00B376E8">
                  <w:pPr>
                    <w:rPr>
                      <w:rFonts w:ascii="宋体"/>
                      <w:sz w:val="24"/>
                    </w:rPr>
                  </w:pPr>
                </w:p>
              </w:tc>
            </w:tr>
          </w:tbl>
          <w:p w:rsidR="00B376E8" w:rsidRDefault="00B376E8">
            <w:pPr>
              <w:widowControl/>
              <w:jc w:val="right"/>
              <w:rPr>
                <w:rFonts w:ascii="仿宋" w:eastAsia="仿宋" w:hAnsi="仿宋" w:cs="仿宋"/>
                <w:color w:val="000000"/>
                <w:kern w:val="0"/>
                <w:sz w:val="24"/>
              </w:rPr>
            </w:pPr>
          </w:p>
        </w:tc>
      </w:tr>
      <w:tr w:rsidR="00B376E8">
        <w:trPr>
          <w:trHeight w:val="308"/>
        </w:trPr>
        <w:tc>
          <w:tcPr>
            <w:tcW w:w="3152" w:type="dxa"/>
            <w:vAlign w:val="center"/>
          </w:tcPr>
          <w:p w:rsidR="00B376E8" w:rsidRDefault="00876046">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商贸事务</w:t>
            </w:r>
          </w:p>
        </w:tc>
        <w:tc>
          <w:tcPr>
            <w:tcW w:w="2167" w:type="dxa"/>
            <w:vAlign w:val="center"/>
          </w:tcPr>
          <w:p w:rsidR="00B376E8" w:rsidRDefault="00B376E8">
            <w:pPr>
              <w:widowControl/>
              <w:jc w:val="right"/>
              <w:rPr>
                <w:rFonts w:ascii="仿宋" w:eastAsia="仿宋" w:hAnsi="仿宋" w:cs="仿宋"/>
                <w:color w:val="000000"/>
                <w:kern w:val="0"/>
                <w:sz w:val="24"/>
              </w:rPr>
            </w:pPr>
          </w:p>
        </w:tc>
        <w:tc>
          <w:tcPr>
            <w:tcW w:w="1701" w:type="dxa"/>
            <w:vAlign w:val="center"/>
          </w:tcPr>
          <w:p w:rsidR="00B376E8" w:rsidRDefault="00B376E8">
            <w:pPr>
              <w:widowControl/>
              <w:jc w:val="right"/>
              <w:rPr>
                <w:rFonts w:ascii="仿宋" w:eastAsia="仿宋" w:hAnsi="仿宋" w:cs="仿宋"/>
                <w:color w:val="000000"/>
                <w:kern w:val="0"/>
                <w:sz w:val="24"/>
              </w:rPr>
            </w:pPr>
          </w:p>
        </w:tc>
      </w:tr>
      <w:tr w:rsidR="00B376E8">
        <w:trPr>
          <w:trHeight w:val="308"/>
        </w:trPr>
        <w:tc>
          <w:tcPr>
            <w:tcW w:w="3152" w:type="dxa"/>
            <w:vAlign w:val="center"/>
          </w:tcPr>
          <w:p w:rsidR="00B376E8" w:rsidRDefault="00876046">
            <w:pPr>
              <w:widowControl/>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行政运行</w:t>
            </w:r>
          </w:p>
        </w:tc>
        <w:tc>
          <w:tcPr>
            <w:tcW w:w="2167" w:type="dxa"/>
            <w:vAlign w:val="center"/>
          </w:tcPr>
          <w:tbl>
            <w:tblPr>
              <w:tblW w:w="21690" w:type="dxa"/>
              <w:tblCellSpacing w:w="0" w:type="dxa"/>
              <w:tblLayout w:type="fixed"/>
              <w:tblCellMar>
                <w:left w:w="0" w:type="dxa"/>
                <w:right w:w="0" w:type="dxa"/>
              </w:tblCellMar>
              <w:tblLook w:val="04A0"/>
            </w:tblPr>
            <w:tblGrid>
              <w:gridCol w:w="10890"/>
              <w:gridCol w:w="10800"/>
            </w:tblGrid>
            <w:tr w:rsidR="00B376E8">
              <w:trPr>
                <w:tblCellSpacing w:w="0" w:type="dxa"/>
              </w:trPr>
              <w:tc>
                <w:tcPr>
                  <w:tcW w:w="10890" w:type="dxa"/>
                  <w:vAlign w:val="center"/>
                </w:tcPr>
                <w:p w:rsidR="00B376E8" w:rsidRDefault="00B376E8">
                  <w:pPr>
                    <w:widowControl/>
                    <w:jc w:val="left"/>
                  </w:pPr>
                </w:p>
              </w:tc>
              <w:tc>
                <w:tcPr>
                  <w:tcW w:w="10800" w:type="dxa"/>
                  <w:vAlign w:val="center"/>
                </w:tcPr>
                <w:p w:rsidR="00B376E8" w:rsidRDefault="00B376E8">
                  <w:pPr>
                    <w:rPr>
                      <w:rFonts w:ascii="宋体"/>
                      <w:sz w:val="24"/>
                    </w:rPr>
                  </w:pPr>
                </w:p>
              </w:tc>
            </w:tr>
          </w:tbl>
          <w:p w:rsidR="00B376E8" w:rsidRDefault="00B376E8">
            <w:pPr>
              <w:widowControl/>
              <w:jc w:val="right"/>
              <w:rPr>
                <w:rFonts w:ascii="仿宋" w:eastAsia="仿宋" w:hAnsi="仿宋" w:cs="仿宋"/>
                <w:color w:val="000000"/>
                <w:kern w:val="0"/>
                <w:sz w:val="24"/>
              </w:rPr>
            </w:pPr>
          </w:p>
        </w:tc>
        <w:tc>
          <w:tcPr>
            <w:tcW w:w="1701" w:type="dxa"/>
            <w:vAlign w:val="center"/>
          </w:tcPr>
          <w:tbl>
            <w:tblPr>
              <w:tblW w:w="21600" w:type="dxa"/>
              <w:tblCellSpacing w:w="0" w:type="dxa"/>
              <w:tblLayout w:type="fixed"/>
              <w:tblCellMar>
                <w:left w:w="0" w:type="dxa"/>
                <w:right w:w="0" w:type="dxa"/>
              </w:tblCellMar>
              <w:tblLook w:val="04A0"/>
            </w:tblPr>
            <w:tblGrid>
              <w:gridCol w:w="10800"/>
              <w:gridCol w:w="10800"/>
            </w:tblGrid>
            <w:tr w:rsidR="00B376E8">
              <w:trPr>
                <w:tblCellSpacing w:w="0" w:type="dxa"/>
              </w:trPr>
              <w:tc>
                <w:tcPr>
                  <w:tcW w:w="18450" w:type="dxa"/>
                  <w:vAlign w:val="center"/>
                </w:tcPr>
                <w:p w:rsidR="00B376E8" w:rsidRDefault="00B376E8">
                  <w:pPr>
                    <w:widowControl/>
                    <w:jc w:val="left"/>
                  </w:pPr>
                </w:p>
              </w:tc>
              <w:tc>
                <w:tcPr>
                  <w:tcW w:w="18450" w:type="dxa"/>
                  <w:vAlign w:val="center"/>
                </w:tcPr>
                <w:p w:rsidR="00B376E8" w:rsidRDefault="00B376E8">
                  <w:pPr>
                    <w:rPr>
                      <w:rFonts w:ascii="宋体"/>
                      <w:sz w:val="24"/>
                    </w:rPr>
                  </w:pPr>
                </w:p>
              </w:tc>
            </w:tr>
          </w:tbl>
          <w:p w:rsidR="00B376E8" w:rsidRDefault="00B376E8">
            <w:pPr>
              <w:widowControl/>
              <w:jc w:val="right"/>
              <w:rPr>
                <w:rFonts w:ascii="仿宋" w:eastAsia="仿宋" w:hAnsi="仿宋" w:cs="仿宋"/>
                <w:color w:val="000000"/>
                <w:kern w:val="0"/>
                <w:sz w:val="24"/>
              </w:rPr>
            </w:pPr>
          </w:p>
        </w:tc>
      </w:tr>
      <w:tr w:rsidR="00B376E8">
        <w:trPr>
          <w:trHeight w:val="308"/>
        </w:trPr>
        <w:tc>
          <w:tcPr>
            <w:tcW w:w="3152" w:type="dxa"/>
            <w:vAlign w:val="center"/>
          </w:tcPr>
          <w:p w:rsidR="00B376E8" w:rsidRDefault="00876046">
            <w:pPr>
              <w:widowControl/>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xml:space="preserve">  </w:t>
            </w:r>
            <w:r>
              <w:rPr>
                <w:rFonts w:ascii="仿宋" w:eastAsia="仿宋" w:hAnsi="仿宋" w:cs="仿宋" w:hint="eastAsia"/>
                <w:color w:val="000000"/>
                <w:kern w:val="0"/>
                <w:sz w:val="24"/>
              </w:rPr>
              <w:t>招商引资</w:t>
            </w:r>
          </w:p>
        </w:tc>
        <w:tc>
          <w:tcPr>
            <w:tcW w:w="2167" w:type="dxa"/>
            <w:vAlign w:val="center"/>
          </w:tcPr>
          <w:p w:rsidR="00B376E8" w:rsidRDefault="00B376E8">
            <w:pPr>
              <w:widowControl/>
              <w:jc w:val="right"/>
              <w:rPr>
                <w:rFonts w:ascii="仿宋" w:eastAsia="仿宋" w:hAnsi="仿宋" w:cs="仿宋"/>
                <w:color w:val="000000"/>
                <w:kern w:val="0"/>
                <w:sz w:val="24"/>
              </w:rPr>
            </w:pPr>
          </w:p>
        </w:tc>
        <w:tc>
          <w:tcPr>
            <w:tcW w:w="1701" w:type="dxa"/>
            <w:vAlign w:val="center"/>
          </w:tcPr>
          <w:p w:rsidR="00B376E8" w:rsidRDefault="00B376E8">
            <w:pPr>
              <w:widowControl/>
              <w:jc w:val="right"/>
              <w:rPr>
                <w:rFonts w:ascii="仿宋" w:eastAsia="仿宋" w:hAnsi="仿宋" w:cs="仿宋"/>
                <w:color w:val="000000"/>
                <w:kern w:val="0"/>
                <w:sz w:val="24"/>
              </w:rPr>
            </w:pPr>
          </w:p>
        </w:tc>
      </w:tr>
    </w:tbl>
    <w:p w:rsidR="00B376E8" w:rsidRDefault="00876046">
      <w:pPr>
        <w:numPr>
          <w:ilvl w:val="0"/>
          <w:numId w:val="2"/>
        </w:num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差异原因分析。差异较大的应分析到具体收入支出功能科目和具体单位。</w:t>
      </w:r>
    </w:p>
    <w:p w:rsidR="00B376E8" w:rsidRDefault="00876046">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年度预算数小于决算支出数是由于上年底结转</w:t>
      </w:r>
      <w:r>
        <w:rPr>
          <w:rFonts w:ascii="仿宋_GB2312" w:eastAsia="仿宋_GB2312" w:hAnsi="仿宋_GB2312" w:cs="仿宋_GB2312"/>
          <w:sz w:val="32"/>
          <w:szCs w:val="32"/>
        </w:rPr>
        <w:t>221174.38</w:t>
      </w:r>
      <w:r>
        <w:rPr>
          <w:rFonts w:ascii="仿宋_GB2312" w:eastAsia="仿宋_GB2312" w:hAnsi="仿宋_GB2312" w:cs="仿宋_GB2312" w:hint="eastAsia"/>
          <w:sz w:val="32"/>
          <w:szCs w:val="32"/>
        </w:rPr>
        <w:t>万元，当年支出预算已执行但尚未完成，下年度需按原用途继续使用。</w:t>
      </w:r>
    </w:p>
    <w:p w:rsidR="00B376E8" w:rsidRDefault="00876046">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．收入支出结构分析。</w:t>
      </w:r>
    </w:p>
    <w:p w:rsidR="00B376E8" w:rsidRDefault="0087604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）各项收入占总收入的比重，各项支出占总支出的比重（可分别制作饼状图）。</w:t>
      </w:r>
    </w:p>
    <w:p w:rsidR="00B376E8" w:rsidRDefault="00B376E8">
      <w:pPr>
        <w:snapToGrid w:val="0"/>
        <w:spacing w:line="520" w:lineRule="exact"/>
        <w:ind w:firstLineChars="200" w:firstLine="600"/>
        <w:rPr>
          <w:rFonts w:ascii="仿宋_GB2312" w:eastAsia="仿宋_GB2312" w:hAnsi="仿宋"/>
          <w:sz w:val="32"/>
          <w:szCs w:val="32"/>
        </w:rPr>
      </w:pPr>
      <w:r w:rsidRPr="00B376E8">
        <w:rPr>
          <w:rFonts w:ascii="仿宋" w:eastAsia="仿宋" w:hAnsi="仿宋" w:cs="仿宋"/>
          <w:sz w:val="30"/>
          <w:szCs w:val="30"/>
        </w:rPr>
        <w:pict>
          <v:shape id="Object 47" o:spid="_x0000_s1027" type="#_x0000_t75" style="position:absolute;left:0;text-align:left;margin-left:56.2pt;margin-top:9.55pt;width:302.6pt;height:175.7pt;z-index:251660288;mso-width-relative:page;mso-height-relative:page">
            <v:imagedata r:id="rId8" o:title=""/>
          </v:shape>
          <o:OLEObject Type="Embed" ProgID="Excel.Chart.8" ShapeID="Object 47" DrawAspect="Content" ObjectID="_1769932603" r:id="rId9"/>
        </w:pict>
      </w:r>
    </w:p>
    <w:p w:rsidR="00B376E8" w:rsidRDefault="00876046">
      <w:pPr>
        <w:snapToGrid w:val="0"/>
        <w:spacing w:line="520" w:lineRule="exact"/>
        <w:rPr>
          <w:rFonts w:ascii="仿宋" w:eastAsia="仿宋" w:hAnsi="仿宋" w:cs="仿宋"/>
          <w:sz w:val="32"/>
          <w:szCs w:val="32"/>
        </w:rPr>
      </w:pPr>
      <w:r>
        <w:rPr>
          <w:rFonts w:ascii="仿宋" w:eastAsia="仿宋" w:hAnsi="仿宋" w:cs="仿宋" w:hint="eastAsia"/>
          <w:sz w:val="32"/>
          <w:szCs w:val="32"/>
        </w:rPr>
        <w:t xml:space="preserve">                                             </w:t>
      </w: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B376E8">
      <w:pPr>
        <w:snapToGrid w:val="0"/>
        <w:spacing w:line="520" w:lineRule="exact"/>
        <w:rPr>
          <w:rFonts w:ascii="仿宋" w:eastAsia="仿宋" w:hAnsi="仿宋" w:cs="仿宋"/>
          <w:sz w:val="32"/>
          <w:szCs w:val="32"/>
        </w:rPr>
      </w:pPr>
    </w:p>
    <w:p w:rsidR="00B376E8" w:rsidRDefault="00876046" w:rsidP="00B376E8">
      <w:pPr>
        <w:snapToGrid w:val="0"/>
        <w:spacing w:line="52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收入支出按部门所属单位分布情况（可列表）。</w:t>
      </w:r>
    </w:p>
    <w:p w:rsidR="00B376E8" w:rsidRDefault="00876046">
      <w:pPr>
        <w:autoSpaceDE w:val="0"/>
        <w:spacing w:line="576"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年我分局收入数为</w:t>
      </w:r>
      <w:r>
        <w:rPr>
          <w:rFonts w:ascii="仿宋_GB2312" w:eastAsia="仿宋_GB2312" w:hAnsi="仿宋_GB2312" w:cs="仿宋_GB2312"/>
          <w:sz w:val="32"/>
          <w:szCs w:val="32"/>
        </w:rPr>
        <w:t>12254945.67</w:t>
      </w:r>
      <w:r>
        <w:rPr>
          <w:rFonts w:ascii="仿宋_GB2312" w:eastAsia="仿宋_GB2312" w:hAnsi="仿宋_GB2312" w:cs="仿宋_GB2312" w:hint="eastAsia"/>
          <w:sz w:val="32"/>
          <w:szCs w:val="32"/>
        </w:rPr>
        <w:t>元，支出数为</w:t>
      </w:r>
      <w:r>
        <w:rPr>
          <w:rFonts w:ascii="仿宋_GB2312" w:eastAsia="仿宋_GB2312" w:hAnsi="仿宋_GB2312" w:cs="仿宋_GB2312"/>
          <w:sz w:val="32"/>
          <w:szCs w:val="32"/>
        </w:rPr>
        <w:t>11677445.67</w:t>
      </w:r>
      <w:r>
        <w:rPr>
          <w:rFonts w:ascii="仿宋_GB2312" w:eastAsia="仿宋_GB2312" w:hAnsi="仿宋_GB2312" w:cs="仿宋_GB2312" w:hint="eastAsia"/>
          <w:sz w:val="32"/>
          <w:szCs w:val="32"/>
        </w:rPr>
        <w:t>元，年末结转</w:t>
      </w:r>
      <w:r>
        <w:rPr>
          <w:rFonts w:ascii="仿宋_GB2312" w:eastAsia="仿宋_GB2312" w:hAnsi="仿宋_GB2312" w:cs="仿宋_GB2312"/>
          <w:sz w:val="32"/>
          <w:szCs w:val="32"/>
        </w:rPr>
        <w:t>57.75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年我分局收入数为</w:t>
      </w:r>
      <w:r>
        <w:rPr>
          <w:rFonts w:ascii="仿宋_GB2312" w:eastAsia="仿宋_GB2312" w:hAnsi="仿宋_GB2312" w:cs="仿宋_GB2312"/>
          <w:sz w:val="32"/>
          <w:szCs w:val="32"/>
        </w:rPr>
        <w:t>66281817.53</w:t>
      </w:r>
      <w:r>
        <w:rPr>
          <w:rFonts w:ascii="仿宋_GB2312" w:eastAsia="仿宋_GB2312" w:hAnsi="仿宋_GB2312" w:cs="仿宋_GB2312" w:hint="eastAsia"/>
          <w:sz w:val="32"/>
          <w:szCs w:val="32"/>
        </w:rPr>
        <w:t>元，支出数为</w:t>
      </w:r>
      <w:r>
        <w:rPr>
          <w:rFonts w:ascii="仿宋_GB2312" w:eastAsia="仿宋_GB2312" w:hAnsi="仿宋_GB2312" w:cs="仿宋_GB2312"/>
          <w:sz w:val="32"/>
          <w:szCs w:val="32"/>
        </w:rPr>
        <w:t>66281817.53</w:t>
      </w:r>
      <w:r>
        <w:rPr>
          <w:rFonts w:ascii="仿宋_GB2312" w:eastAsia="仿宋_GB2312" w:hAnsi="仿宋_GB2312" w:cs="仿宋_GB2312" w:hint="eastAsia"/>
          <w:sz w:val="32"/>
          <w:szCs w:val="32"/>
        </w:rPr>
        <w:t>元，年末结转</w:t>
      </w:r>
      <w:r>
        <w:rPr>
          <w:rFonts w:ascii="仿宋_GB2312" w:eastAsia="仿宋_GB2312" w:hAnsi="仿宋_GB2312" w:cs="仿宋_GB2312"/>
          <w:sz w:val="32"/>
          <w:szCs w:val="32"/>
        </w:rPr>
        <w:t>221174.38</w:t>
      </w:r>
      <w:r>
        <w:rPr>
          <w:rFonts w:ascii="仿宋_GB2312" w:eastAsia="仿宋_GB2312" w:hAnsi="仿宋_GB2312" w:cs="仿宋_GB2312" w:hint="eastAsia"/>
          <w:sz w:val="32"/>
          <w:szCs w:val="32"/>
        </w:rPr>
        <w:t>元。</w:t>
      </w:r>
    </w:p>
    <w:p w:rsidR="00B376E8" w:rsidRDefault="00B376E8">
      <w:pPr>
        <w:snapToGrid w:val="0"/>
        <w:spacing w:line="520" w:lineRule="exact"/>
        <w:ind w:firstLineChars="200" w:firstLine="600"/>
        <w:rPr>
          <w:rFonts w:ascii="仿宋_GB2312" w:eastAsia="仿宋_GB2312" w:hAnsi="仿宋_GB2312" w:cs="仿宋_GB2312"/>
          <w:sz w:val="32"/>
          <w:szCs w:val="32"/>
        </w:rPr>
      </w:pPr>
      <w:r w:rsidRPr="00B376E8">
        <w:rPr>
          <w:rFonts w:ascii="仿宋" w:eastAsia="仿宋" w:hAnsi="仿宋" w:cs="仿宋"/>
          <w:bCs/>
          <w:sz w:val="30"/>
          <w:szCs w:val="30"/>
        </w:rPr>
        <w:pict>
          <v:shape id="Object 50" o:spid="_x0000_s1028" type="#_x0000_t75" style="position:absolute;left:0;text-align:left;margin-left:210.65pt;margin-top:49.85pt;width:240.4pt;height:165.95pt;z-index:251662336;mso-width-relative:page;mso-height-relative:page">
            <v:imagedata r:id="rId10" o:title=""/>
          </v:shape>
          <o:OLEObject Type="Embed" ProgID="Excel.Chart.8" ShapeID="Object 50" DrawAspect="Content" ObjectID="_1769932604" r:id="rId11"/>
        </w:pict>
      </w:r>
      <w:r w:rsidRPr="00B376E8">
        <w:rPr>
          <w:rFonts w:ascii="仿宋" w:eastAsia="仿宋" w:hAnsi="仿宋" w:cs="仿宋"/>
          <w:bCs/>
          <w:sz w:val="30"/>
          <w:szCs w:val="30"/>
        </w:rPr>
        <w:pict>
          <v:shape id="Object 49" o:spid="_x0000_s1029" type="#_x0000_t75" style="position:absolute;left:0;text-align:left;margin-left:-29.4pt;margin-top:51.15pt;width:236.2pt;height:168.95pt;z-index:251661312;mso-width-relative:page;mso-height-relative:page">
            <v:imagedata r:id="rId12" o:title=""/>
          </v:shape>
          <o:OLEObject Type="Embed" ProgID="Excel.Chart.8" ShapeID="Object 49" DrawAspect="Content" ObjectID="_1769932605" r:id="rId13"/>
        </w:pict>
      </w:r>
      <w:r w:rsidR="00876046">
        <w:rPr>
          <w:rFonts w:ascii="仿宋_GB2312" w:eastAsia="仿宋_GB2312" w:hAnsi="仿宋_GB2312" w:cs="仿宋_GB2312" w:hint="eastAsia"/>
          <w:sz w:val="32"/>
          <w:szCs w:val="32"/>
        </w:rPr>
        <w:t>（</w:t>
      </w:r>
      <w:r w:rsidR="00876046">
        <w:rPr>
          <w:rFonts w:ascii="仿宋_GB2312" w:eastAsia="仿宋_GB2312" w:hAnsi="仿宋_GB2312" w:cs="仿宋_GB2312" w:hint="eastAsia"/>
          <w:sz w:val="32"/>
          <w:szCs w:val="32"/>
        </w:rPr>
        <w:t>3</w:t>
      </w:r>
      <w:r w:rsidR="00876046">
        <w:rPr>
          <w:rFonts w:ascii="仿宋_GB2312" w:eastAsia="仿宋_GB2312" w:hAnsi="仿宋_GB2312" w:cs="仿宋_GB2312" w:hint="eastAsia"/>
          <w:sz w:val="32"/>
          <w:szCs w:val="32"/>
        </w:rPr>
        <w:t>）收入支出与上年度对比情况及原因分析</w:t>
      </w:r>
      <w:r w:rsidR="00876046">
        <w:rPr>
          <w:rFonts w:ascii="仿宋_GB2312" w:eastAsia="仿宋_GB2312" w:hAnsi="仿宋_GB2312" w:cs="仿宋_GB2312" w:hint="eastAsia"/>
          <w:sz w:val="32"/>
          <w:szCs w:val="32"/>
        </w:rPr>
        <w:t>(</w:t>
      </w:r>
      <w:r w:rsidR="00876046">
        <w:rPr>
          <w:rFonts w:ascii="仿宋_GB2312" w:eastAsia="仿宋_GB2312" w:hAnsi="仿宋_GB2312" w:cs="仿宋_GB2312" w:hint="eastAsia"/>
          <w:sz w:val="32"/>
          <w:szCs w:val="32"/>
        </w:rPr>
        <w:t>可用柱形图或折线图</w:t>
      </w:r>
      <w:r w:rsidR="00876046">
        <w:rPr>
          <w:rFonts w:ascii="仿宋_GB2312" w:eastAsia="仿宋_GB2312" w:hAnsi="仿宋_GB2312" w:cs="仿宋_GB2312" w:hint="eastAsia"/>
          <w:sz w:val="32"/>
          <w:szCs w:val="32"/>
        </w:rPr>
        <w:t>)</w:t>
      </w:r>
      <w:r w:rsidR="00876046">
        <w:rPr>
          <w:rFonts w:ascii="仿宋_GB2312" w:eastAsia="仿宋_GB2312" w:hAnsi="仿宋_GB2312" w:cs="仿宋_GB2312" w:hint="eastAsia"/>
          <w:sz w:val="32"/>
          <w:szCs w:val="32"/>
        </w:rPr>
        <w:t>。</w:t>
      </w:r>
    </w:p>
    <w:p w:rsidR="00B376E8" w:rsidRDefault="00B376E8">
      <w:pPr>
        <w:rPr>
          <w:rFonts w:ascii="仿宋_GB2312" w:eastAsia="仿宋_GB2312" w:hAnsi="仿宋_GB2312" w:cs="仿宋_GB2312"/>
          <w:sz w:val="32"/>
          <w:szCs w:val="32"/>
        </w:rPr>
      </w:pPr>
    </w:p>
    <w:p w:rsidR="00B376E8" w:rsidRDefault="00B376E8">
      <w:pPr>
        <w:rPr>
          <w:rFonts w:ascii="仿宋_GB2312" w:eastAsia="仿宋_GB2312" w:hAnsi="仿宋_GB2312" w:cs="仿宋_GB2312"/>
          <w:sz w:val="32"/>
          <w:szCs w:val="32"/>
        </w:rPr>
      </w:pPr>
    </w:p>
    <w:p w:rsidR="00B376E8" w:rsidRDefault="00876046">
      <w:pPr>
        <w:snapToGrid w:val="0"/>
        <w:spacing w:line="520" w:lineRule="exact"/>
        <w:ind w:firstLineChars="200" w:firstLine="640"/>
        <w:rPr>
          <w:rFonts w:ascii="仿宋_GB2312" w:eastAsia="仿宋_GB2312" w:hAnsi="仿宋" w:cs="仿宋"/>
          <w:color w:val="000000"/>
          <w:sz w:val="32"/>
          <w:szCs w:val="32"/>
        </w:rPr>
      </w:pPr>
      <w:r>
        <w:rPr>
          <w:rFonts w:ascii="仿宋_GB2312" w:eastAsia="仿宋_GB2312" w:hAnsi="仿宋" w:hint="eastAsia"/>
          <w:sz w:val="32"/>
          <w:szCs w:val="32"/>
        </w:rPr>
        <w:lastRenderedPageBreak/>
        <w:t>（</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hint="eastAsia"/>
          <w:sz w:val="32"/>
          <w:szCs w:val="32"/>
        </w:rPr>
        <w:t>“三公”经费支出情况：</w:t>
      </w:r>
      <w:r>
        <w:rPr>
          <w:rFonts w:ascii="仿宋_GB2312" w:eastAsia="仿宋_GB2312" w:hAnsi="仿宋_GB2312" w:cs="仿宋_GB2312" w:hint="eastAsia"/>
          <w:sz w:val="32"/>
          <w:szCs w:val="32"/>
        </w:rPr>
        <w:t>我分局无此项经费。</w:t>
      </w:r>
    </w:p>
    <w:p w:rsidR="00B376E8" w:rsidRDefault="00876046">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会议费支出情况：</w:t>
      </w:r>
      <w:r>
        <w:rPr>
          <w:rFonts w:ascii="仿宋_GB2312" w:eastAsia="仿宋_GB2312" w:hAnsi="仿宋_GB2312" w:cs="仿宋_GB2312" w:hint="eastAsia"/>
          <w:sz w:val="32"/>
          <w:szCs w:val="32"/>
        </w:rPr>
        <w:t>我分局无此项经费。</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培训费支出情况：</w:t>
      </w:r>
      <w:r>
        <w:rPr>
          <w:rFonts w:ascii="仿宋_GB2312" w:eastAsia="仿宋_GB2312" w:hAnsi="仿宋_GB2312" w:cs="仿宋_GB2312" w:hint="eastAsia"/>
          <w:sz w:val="32"/>
          <w:szCs w:val="32"/>
        </w:rPr>
        <w:t>我分局无此项经费。</w:t>
      </w:r>
    </w:p>
    <w:p w:rsidR="00B376E8" w:rsidRDefault="00876046" w:rsidP="00B376E8">
      <w:pPr>
        <w:snapToGrid w:val="0"/>
        <w:spacing w:line="520" w:lineRule="exact"/>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其他对部门影响较大的支出情况。</w:t>
      </w:r>
    </w:p>
    <w:p w:rsidR="00B376E8" w:rsidRDefault="00876046" w:rsidP="00B376E8">
      <w:pPr>
        <w:snapToGrid w:val="0"/>
        <w:spacing w:line="520" w:lineRule="exact"/>
        <w:ind w:leftChars="200" w:left="420"/>
        <w:rPr>
          <w:rFonts w:ascii="仿宋_GB2312" w:eastAsia="仿宋_GB2312" w:hAnsi="仿宋"/>
          <w:sz w:val="32"/>
          <w:szCs w:val="32"/>
        </w:rPr>
      </w:pPr>
      <w:r>
        <w:rPr>
          <w:rFonts w:ascii="仿宋_GB2312" w:eastAsia="仿宋_GB2312" w:hAnsi="仿宋" w:hint="eastAsia"/>
          <w:sz w:val="32"/>
          <w:szCs w:val="32"/>
        </w:rPr>
        <w:t xml:space="preserve">   </w:t>
      </w:r>
      <w:r>
        <w:rPr>
          <w:rFonts w:ascii="仿宋" w:eastAsia="仿宋" w:hAnsi="仿宋" w:cs="仿宋" w:hint="eastAsia"/>
          <w:sz w:val="32"/>
          <w:szCs w:val="32"/>
        </w:rPr>
        <w:t>无。</w:t>
      </w:r>
    </w:p>
    <w:p w:rsidR="00B376E8" w:rsidRDefault="00876046" w:rsidP="00B376E8">
      <w:pPr>
        <w:snapToGrid w:val="0"/>
        <w:spacing w:line="520" w:lineRule="exact"/>
        <w:ind w:leftChars="200" w:left="420"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重点经济分类支出中存在的问题及改进措施。</w:t>
      </w:r>
    </w:p>
    <w:p w:rsidR="00B376E8" w:rsidRDefault="00876046" w:rsidP="00B376E8">
      <w:pPr>
        <w:snapToGrid w:val="0"/>
        <w:spacing w:line="520" w:lineRule="exact"/>
        <w:ind w:leftChars="200" w:left="42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无。</w:t>
      </w:r>
    </w:p>
    <w:p w:rsidR="00B376E8" w:rsidRDefault="00876046">
      <w:pPr>
        <w:numPr>
          <w:ilvl w:val="0"/>
          <w:numId w:val="1"/>
        </w:num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财政拨款收入、支出分析。</w:t>
      </w:r>
    </w:p>
    <w:p w:rsidR="00B376E8" w:rsidRDefault="00876046">
      <w:pPr>
        <w:snapToGrid w:val="0"/>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本年度收入合计</w:t>
      </w:r>
      <w:r>
        <w:rPr>
          <w:rFonts w:ascii="仿宋_GB2312" w:eastAsia="仿宋_GB2312" w:hAnsi="仿宋_GB2312" w:cs="仿宋_GB2312"/>
          <w:sz w:val="32"/>
          <w:szCs w:val="32"/>
        </w:rPr>
        <w:t>122.5494567</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116.7744567</w:t>
      </w:r>
      <w:r>
        <w:rPr>
          <w:rFonts w:ascii="仿宋_GB2312" w:eastAsia="仿宋_GB2312" w:hAnsi="仿宋_GB2312" w:cs="仿宋_GB2312" w:hint="eastAsia"/>
          <w:sz w:val="32"/>
          <w:szCs w:val="32"/>
        </w:rPr>
        <w:t>万元</w:t>
      </w:r>
      <w:r w:rsidR="00F0374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总支出与上年比较略有增加，原因，我单位以“廉洁、节俭、增效”为目标，以健全制度为保证，提高公用经费的使用效能，上年底结转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万元，当年支出预算已执行。</w:t>
      </w:r>
    </w:p>
    <w:p w:rsidR="00B376E8" w:rsidRDefault="00876046">
      <w:p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非财政拨款收入分析。</w:t>
      </w:r>
    </w:p>
    <w:p w:rsidR="00B376E8" w:rsidRDefault="00876046">
      <w:pPr>
        <w:snapToGrid w:val="0"/>
        <w:spacing w:line="52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无。</w:t>
      </w:r>
    </w:p>
    <w:p w:rsidR="00B376E8" w:rsidRDefault="00876046">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（三）年末结转和结余情况。</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本年结转或结余数</w:t>
      </w:r>
      <w:r>
        <w:rPr>
          <w:rFonts w:ascii="仿宋_GB2312" w:eastAsia="仿宋_GB2312" w:hAnsi="仿宋_GB2312" w:cs="仿宋_GB2312"/>
          <w:sz w:val="32"/>
          <w:szCs w:val="32"/>
        </w:rPr>
        <w:t>57.75</w:t>
      </w:r>
      <w:r>
        <w:rPr>
          <w:rFonts w:ascii="仿宋_GB2312" w:eastAsia="仿宋_GB2312" w:hAnsi="仿宋_GB2312" w:cs="仿宋_GB2312" w:hint="eastAsia"/>
          <w:sz w:val="32"/>
          <w:szCs w:val="32"/>
        </w:rPr>
        <w:t>万元，基本支出结转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万元，项目支出结转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．消化结转和结余的对策。</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下一年度结余结转资金按合同继续使用。</w:t>
      </w:r>
    </w:p>
    <w:p w:rsidR="00B376E8" w:rsidRDefault="00876046">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（四）与预算支出相关的其他指标分析。</w:t>
      </w:r>
    </w:p>
    <w:p w:rsidR="00B376E8" w:rsidRDefault="00876046">
      <w:pPr>
        <w:snapToGrid w:val="0"/>
        <w:spacing w:line="52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年我分局资产、负债等数据与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年度相比都有所下降，主要原因：一是</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年度我分局按照财政要求上缴存量资金；二是我分局按照县财政相关要求，加强对往来款项的清理，负债有所下降。</w:t>
      </w:r>
    </w:p>
    <w:p w:rsidR="00B376E8" w:rsidRDefault="00876046">
      <w:pPr>
        <w:snapToGrid w:val="0"/>
        <w:spacing w:line="520" w:lineRule="exact"/>
        <w:ind w:firstLineChars="200" w:firstLine="643"/>
        <w:rPr>
          <w:rFonts w:ascii="楷体_GB2312" w:eastAsia="楷体_GB2312" w:hAnsi="仿宋"/>
          <w:b/>
          <w:color w:val="0000FF"/>
          <w:sz w:val="32"/>
          <w:szCs w:val="32"/>
        </w:rPr>
      </w:pPr>
      <w:r>
        <w:rPr>
          <w:rFonts w:ascii="楷体_GB2312" w:eastAsia="楷体_GB2312" w:hAnsi="仿宋" w:hint="eastAsia"/>
          <w:b/>
          <w:sz w:val="32"/>
          <w:szCs w:val="32"/>
        </w:rPr>
        <w:t>（</w:t>
      </w:r>
      <w:r>
        <w:rPr>
          <w:rFonts w:ascii="楷体_GB2312" w:eastAsia="楷体_GB2312" w:hAnsi="仿宋" w:hint="eastAsia"/>
          <w:b/>
          <w:sz w:val="32"/>
          <w:szCs w:val="32"/>
        </w:rPr>
        <w:t>五）绩效目标完成情况</w:t>
      </w:r>
      <w:r>
        <w:rPr>
          <w:rFonts w:ascii="楷体_GB2312" w:eastAsia="楷体_GB2312" w:hAnsi="仿宋" w:hint="eastAsia"/>
          <w:b/>
          <w:sz w:val="32"/>
          <w:szCs w:val="32"/>
        </w:rPr>
        <w:t>。</w:t>
      </w:r>
    </w:p>
    <w:p w:rsidR="00B376E8" w:rsidRDefault="00876046">
      <w:pPr>
        <w:snapToGrid w:val="0"/>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1.</w:t>
      </w:r>
      <w:r>
        <w:rPr>
          <w:rFonts w:ascii="楷体_GB2312" w:eastAsia="楷体_GB2312" w:hAnsi="楷体_GB2312" w:cs="楷体_GB2312" w:hint="eastAsia"/>
          <w:sz w:val="32"/>
          <w:szCs w:val="32"/>
        </w:rPr>
        <w:t>概述一级项目和二级项目绩效目标完成情况。</w:t>
      </w:r>
    </w:p>
    <w:p w:rsidR="00B376E8" w:rsidRDefault="00876046">
      <w:pPr>
        <w:snapToGrid w:val="0"/>
        <w:spacing w:line="52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年度我分局项目共计</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个，总经费预算数</w:t>
      </w:r>
      <w:r>
        <w:rPr>
          <w:rFonts w:ascii="仿宋_GB2312" w:eastAsia="仿宋_GB2312" w:hAnsi="仿宋_GB2312" w:cs="仿宋_GB2312"/>
          <w:sz w:val="32"/>
          <w:szCs w:val="32"/>
        </w:rPr>
        <w:t>122.5494567</w:t>
      </w:r>
      <w:r>
        <w:rPr>
          <w:rFonts w:ascii="仿宋_GB2312" w:eastAsia="仿宋_GB2312" w:hAnsi="仿宋_GB2312" w:cs="仿宋_GB2312" w:hint="eastAsia"/>
          <w:sz w:val="32"/>
          <w:szCs w:val="32"/>
        </w:rPr>
        <w:t>万元，上年结转数</w:t>
      </w:r>
      <w:r>
        <w:rPr>
          <w:rFonts w:ascii="仿宋_GB2312" w:eastAsia="仿宋_GB2312" w:hAnsi="仿宋_GB2312" w:cs="仿宋_GB2312"/>
          <w:sz w:val="32"/>
          <w:szCs w:val="32"/>
        </w:rPr>
        <w:t>112274.38</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年度项目支出数</w:t>
      </w:r>
      <w:r>
        <w:rPr>
          <w:rFonts w:ascii="仿宋_GB2312" w:eastAsia="仿宋_GB2312" w:hAnsi="仿宋_GB2312" w:cs="仿宋_GB2312"/>
          <w:sz w:val="32"/>
          <w:szCs w:val="32"/>
        </w:rPr>
        <w:t>122.5494567</w:t>
      </w:r>
      <w:r>
        <w:rPr>
          <w:rFonts w:ascii="仿宋_GB2312" w:eastAsia="仿宋_GB2312" w:hAnsi="仿宋_GB2312" w:cs="仿宋_GB2312" w:hint="eastAsia"/>
          <w:sz w:val="32"/>
          <w:szCs w:val="32"/>
        </w:rPr>
        <w:t>万元，占总支出的</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，比上年上升</w:t>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完工项目绩效自评价情况：我分局工作得到了高度重视，并取得了巨大成绩，完成了本年度目标任务，成为全县经济社会发展的重要动力，项目的落地，大大提升了区域品牌影响力，带动区域人气，带来经济效益，项目完成情况较好。</w:t>
      </w:r>
      <w:r>
        <w:rPr>
          <w:rFonts w:ascii="仿宋" w:eastAsia="仿宋" w:hAnsi="仿宋" w:cs="仿宋" w:hint="eastAsia"/>
          <w:sz w:val="32"/>
          <w:szCs w:val="32"/>
        </w:rPr>
        <w:t xml:space="preserve">    </w:t>
      </w:r>
    </w:p>
    <w:p w:rsidR="00B376E8" w:rsidRDefault="00876046">
      <w:pPr>
        <w:numPr>
          <w:ilvl w:val="0"/>
          <w:numId w:val="3"/>
        </w:numPr>
        <w:snapToGrid w:val="0"/>
        <w:spacing w:line="520" w:lineRule="exact"/>
        <w:ind w:firstLine="640"/>
        <w:rPr>
          <w:rFonts w:ascii="仿宋_GB2312" w:eastAsia="仿宋_GB2312" w:hAnsi="仿宋"/>
          <w:sz w:val="32"/>
          <w:szCs w:val="32"/>
        </w:rPr>
      </w:pPr>
      <w:r>
        <w:rPr>
          <w:rFonts w:ascii="楷体_GB2312" w:eastAsia="楷体_GB2312" w:hAnsi="楷体_GB2312" w:cs="楷体_GB2312" w:hint="eastAsia"/>
          <w:sz w:val="32"/>
          <w:szCs w:val="32"/>
        </w:rPr>
        <w:t>概述下属单位整体支出绩效目标实现情况</w:t>
      </w:r>
      <w:r>
        <w:rPr>
          <w:rFonts w:ascii="仿宋_GB2312" w:eastAsia="仿宋_GB2312" w:hAnsi="仿宋" w:hint="eastAsia"/>
          <w:sz w:val="32"/>
          <w:szCs w:val="32"/>
        </w:rPr>
        <w:t>（如有）。</w:t>
      </w:r>
    </w:p>
    <w:p w:rsidR="00B376E8" w:rsidRDefault="00876046">
      <w:pPr>
        <w:snapToGrid w:val="0"/>
        <w:spacing w:line="520" w:lineRule="exact"/>
        <w:ind w:left="630"/>
        <w:rPr>
          <w:rFonts w:ascii="仿宋_GB2312" w:eastAsia="仿宋_GB2312" w:hAnsi="仿宋"/>
          <w:sz w:val="32"/>
          <w:szCs w:val="32"/>
        </w:rPr>
      </w:pPr>
      <w:r>
        <w:rPr>
          <w:rFonts w:ascii="仿宋_GB2312" w:eastAsia="仿宋_GB2312" w:hAnsi="仿宋" w:hint="eastAsia"/>
          <w:sz w:val="32"/>
          <w:szCs w:val="32"/>
        </w:rPr>
        <w:t>无。</w:t>
      </w:r>
    </w:p>
    <w:p w:rsidR="00B376E8" w:rsidRDefault="00876046">
      <w:pPr>
        <w:numPr>
          <w:ilvl w:val="0"/>
          <w:numId w:val="3"/>
        </w:numPr>
        <w:snapToGrid w:val="0"/>
        <w:spacing w:line="520" w:lineRule="exact"/>
        <w:ind w:firstLine="640"/>
        <w:rPr>
          <w:rFonts w:ascii="仿宋_GB2312" w:eastAsia="仿宋_GB2312" w:hAnsi="仿宋"/>
          <w:sz w:val="32"/>
          <w:szCs w:val="32"/>
        </w:rPr>
      </w:pPr>
      <w:r>
        <w:rPr>
          <w:rFonts w:ascii="楷体_GB2312" w:eastAsia="楷体_GB2312" w:hAnsi="楷体_GB2312" w:cs="楷体_GB2312" w:hint="eastAsia"/>
          <w:sz w:val="32"/>
          <w:szCs w:val="32"/>
        </w:rPr>
        <w:t>概述以部门为主体开展的重点项目绩效评价情况：</w:t>
      </w:r>
      <w:r>
        <w:rPr>
          <w:rFonts w:ascii="仿宋_GB2312" w:eastAsia="仿宋_GB2312" w:hAnsi="仿宋" w:hint="eastAsia"/>
          <w:sz w:val="32"/>
          <w:szCs w:val="32"/>
        </w:rPr>
        <w:t>绩效评价结果，发现的问题及改进措施等（如有）。</w:t>
      </w:r>
    </w:p>
    <w:p w:rsidR="00B376E8" w:rsidRDefault="00876046">
      <w:pPr>
        <w:snapToGrid w:val="0"/>
        <w:spacing w:line="520" w:lineRule="exact"/>
        <w:ind w:left="630"/>
        <w:rPr>
          <w:rFonts w:ascii="仿宋_GB2312" w:eastAsia="仿宋_GB2312" w:hAnsi="仿宋"/>
          <w:sz w:val="32"/>
          <w:szCs w:val="32"/>
        </w:rPr>
      </w:pPr>
      <w:r>
        <w:rPr>
          <w:rFonts w:ascii="仿宋_GB2312" w:eastAsia="仿宋_GB2312" w:hAnsi="仿宋" w:hint="eastAsia"/>
          <w:sz w:val="32"/>
          <w:szCs w:val="32"/>
        </w:rPr>
        <w:t>无。</w:t>
      </w:r>
    </w:p>
    <w:p w:rsidR="00B376E8" w:rsidRDefault="00876046">
      <w:pPr>
        <w:numPr>
          <w:ilvl w:val="0"/>
          <w:numId w:val="4"/>
        </w:num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当年预算执行及绩效管理中存在问题、原因及改进措施。</w:t>
      </w:r>
    </w:p>
    <w:p w:rsidR="00B376E8" w:rsidRDefault="00876046">
      <w:pPr>
        <w:snapToGrid w:val="0"/>
        <w:spacing w:line="520" w:lineRule="exact"/>
        <w:ind w:firstLineChars="300" w:firstLine="96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、部门预算执行中存在的问题。</w:t>
      </w:r>
    </w:p>
    <w:p w:rsidR="00B376E8" w:rsidRDefault="00876046">
      <w:pPr>
        <w:snapToGrid w:val="0"/>
        <w:spacing w:line="52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预算执行分析不够全面深入。预算执行分析是财政预算执行情况的总结，部门预算执行分析仅停留在简单的数据汇总，没有从全方位、多层次、多角度反映财政支出状况，未对财政支出结构及变化确实进行判断，未实现部门预算与执行分析的有机结合。</w:t>
      </w:r>
    </w:p>
    <w:p w:rsidR="00B376E8" w:rsidRDefault="00876046">
      <w:pPr>
        <w:snapToGrid w:val="0"/>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、部门预算编制与执行存在上述问题的原因分析。</w:t>
      </w:r>
    </w:p>
    <w:p w:rsidR="00B376E8" w:rsidRDefault="00876046">
      <w:pPr>
        <w:snapToGrid w:val="0"/>
        <w:spacing w:line="52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预算执行分析不深入。预算执行分析是对预算收支活动全过程的分析，以及掌握预算收支情况，发现和解决预算执行中存在的问题，保证预算顺利执行。由于对预算执行分析</w:t>
      </w:r>
      <w:r>
        <w:rPr>
          <w:rFonts w:ascii="仿宋_GB2312" w:eastAsia="仿宋_GB2312" w:hAnsi="仿宋_GB2312" w:cs="仿宋_GB2312" w:hint="eastAsia"/>
          <w:sz w:val="32"/>
          <w:szCs w:val="32"/>
        </w:rPr>
        <w:lastRenderedPageBreak/>
        <w:t>的重要性认识不够，为分析而分析，没有达到应有效果</w:t>
      </w:r>
      <w:r>
        <w:rPr>
          <w:rFonts w:ascii="楷体_GB2312" w:eastAsia="楷体_GB2312" w:hAnsi="楷体_GB2312" w:cs="楷体_GB2312" w:hint="eastAsia"/>
          <w:sz w:val="32"/>
          <w:szCs w:val="32"/>
        </w:rPr>
        <w:t>。</w:t>
      </w:r>
    </w:p>
    <w:p w:rsidR="00B376E8" w:rsidRDefault="00876046">
      <w:pPr>
        <w:snapToGrid w:val="0"/>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、部门预算执行改进措施。</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强预算执行分析，提高运行效率和使用效益。预算执行分析是加强预算收支管理、促进预算收支目标任务，全面完成的重要手段，是整个财政预算执行工作的重要组成部分。要高度重视执行预算分析工作，认识到，做好财政预算执行分析工作的重要意义，牢牢把握预算执行工作真实性、及时性、全面性的要求，及时跟踪预算执行动态变化过程，重点研究预算执行过程中出现的各种问题，强化预算执行全过程的管理，提供详实准确的预算执行数据，并准确预测预算收支的发展趋势。</w:t>
      </w:r>
    </w:p>
    <w:p w:rsidR="00B376E8" w:rsidRDefault="00876046">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）加大部门预算的公开力度。财政部门应全面掌握部门的资源和需求，建立各部门</w:t>
      </w:r>
      <w:r>
        <w:rPr>
          <w:rFonts w:ascii="仿宋" w:eastAsia="仿宋" w:hAnsi="仿宋" w:cs="仿宋" w:hint="eastAsia"/>
          <w:sz w:val="32"/>
          <w:szCs w:val="32"/>
        </w:rPr>
        <w:t>基础数据定期报告和财政部门定期核查机制，提高财政资金安排的准确性，使财政资金真实、公平、有效分配。</w:t>
      </w:r>
    </w:p>
    <w:p w:rsidR="00B376E8" w:rsidRDefault="00876046">
      <w:pPr>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三、本年度部门决算等财务工作开展情况</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（一）本部门财务管理、绩效管理、决算组织、编报、审核情况。</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分局严格按照《行政事业单位会计制度》要求。依据《会计法》等相关财经法规建立健全财务制度，我分局结合实际制定用款计划，专款专用。我分局对年终决算高度重视，组织专人负责编制决算报告，对决算数据进行了严格审核，分析。</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（二）本部门决算及绩效信息公开工作、主管部门对所属单位按规定批复决算工作开展情况。</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（三）对部门决算</w:t>
      </w:r>
      <w:r>
        <w:rPr>
          <w:rFonts w:ascii="仿宋_GB2312" w:eastAsia="仿宋_GB2312" w:hAnsi="仿宋_GB2312" w:cs="仿宋_GB2312" w:hint="eastAsia"/>
          <w:sz w:val="32"/>
          <w:szCs w:val="32"/>
        </w:rPr>
        <w:t>管理及报表设计的意见建议。（无）</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（四）对加强部门决算数据分析利用工作的建议。</w:t>
      </w:r>
    </w:p>
    <w:p w:rsidR="00B376E8" w:rsidRDefault="00876046">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夯实基础信息，促进编制规范。预算编制、预算执行、决算是一个有机的整体，预算编制通过预算执行加以验证，预算执行的结果形成决算，决算经过反馈，为预算编制提供参考。部门决算工作应完善后续监督反馈机制，进一步夯实数据信息。</w:t>
      </w:r>
    </w:p>
    <w:p w:rsidR="00B376E8" w:rsidRDefault="00B376E8">
      <w:pPr>
        <w:snapToGrid w:val="0"/>
        <w:spacing w:line="520" w:lineRule="exact"/>
        <w:ind w:firstLineChars="200" w:firstLine="640"/>
        <w:rPr>
          <w:rFonts w:ascii="仿宋_GB2312" w:eastAsia="仿宋_GB2312" w:hAnsi="仿宋_GB2312" w:cs="仿宋_GB2312"/>
          <w:sz w:val="32"/>
          <w:szCs w:val="32"/>
        </w:rPr>
      </w:pPr>
    </w:p>
    <w:p w:rsidR="00B376E8" w:rsidRDefault="00B376E8">
      <w:pPr>
        <w:snapToGrid w:val="0"/>
        <w:rPr>
          <w:rFonts w:ascii="仿宋_GB2312" w:eastAsia="仿宋_GB2312" w:hAnsi="仿宋_GB2312" w:cs="仿宋_GB2312"/>
          <w:sz w:val="32"/>
          <w:szCs w:val="32"/>
        </w:rPr>
      </w:pPr>
    </w:p>
    <w:p w:rsidR="00B376E8" w:rsidRDefault="00B376E8">
      <w:pPr>
        <w:snapToGrid w:val="0"/>
        <w:rPr>
          <w:rFonts w:ascii="仿宋_GB2312" w:eastAsia="仿宋_GB2312" w:hAnsi="仿宋_GB2312" w:cs="仿宋_GB2312"/>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876046">
      <w:pPr>
        <w:snapToGrid w:val="0"/>
        <w:jc w:val="right"/>
        <w:rPr>
          <w:rFonts w:ascii="仿宋_GB2312" w:eastAsia="仿宋_GB2312" w:hAnsi="仿宋"/>
          <w:sz w:val="32"/>
          <w:szCs w:val="32"/>
        </w:rPr>
      </w:pPr>
      <w:r>
        <w:rPr>
          <w:rFonts w:ascii="仿宋_GB2312" w:eastAsia="仿宋_GB2312" w:hAnsi="仿宋" w:hint="eastAsia"/>
          <w:sz w:val="32"/>
          <w:szCs w:val="32"/>
        </w:rPr>
        <w:t>昌都市生态环境局类乌齐县分局</w:t>
      </w:r>
    </w:p>
    <w:p w:rsidR="00B376E8" w:rsidRDefault="00876046">
      <w:pPr>
        <w:snapToGrid w:val="0"/>
        <w:jc w:val="right"/>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sz w:val="32"/>
          <w:szCs w:val="32"/>
        </w:rPr>
        <w:t>4</w:t>
      </w:r>
      <w:r>
        <w:rPr>
          <w:rFonts w:ascii="仿宋_GB2312" w:eastAsia="仿宋_GB2312" w:hAnsi="仿宋" w:hint="eastAsia"/>
          <w:sz w:val="32"/>
          <w:szCs w:val="32"/>
        </w:rPr>
        <w:t>年</w:t>
      </w:r>
      <w:r>
        <w:rPr>
          <w:rFonts w:ascii="仿宋_GB2312" w:eastAsia="仿宋_GB2312" w:hAnsi="仿宋"/>
          <w:sz w:val="32"/>
          <w:szCs w:val="32"/>
        </w:rPr>
        <w:t>2</w:t>
      </w:r>
      <w:r>
        <w:rPr>
          <w:rFonts w:ascii="仿宋_GB2312" w:eastAsia="仿宋_GB2312" w:hAnsi="仿宋" w:hint="eastAsia"/>
          <w:sz w:val="32"/>
          <w:szCs w:val="32"/>
        </w:rPr>
        <w:t>月</w:t>
      </w:r>
      <w:r>
        <w:rPr>
          <w:rFonts w:ascii="仿宋_GB2312" w:eastAsia="仿宋_GB2312" w:hAnsi="仿宋"/>
          <w:sz w:val="32"/>
          <w:szCs w:val="32"/>
        </w:rPr>
        <w:t>19</w:t>
      </w:r>
      <w:bookmarkStart w:id="2" w:name="_GoBack"/>
      <w:bookmarkEnd w:id="2"/>
      <w:r>
        <w:rPr>
          <w:rFonts w:ascii="仿宋_GB2312" w:eastAsia="仿宋_GB2312" w:hAnsi="仿宋" w:hint="eastAsia"/>
          <w:sz w:val="32"/>
          <w:szCs w:val="32"/>
        </w:rPr>
        <w:t>日</w:t>
      </w: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B376E8">
      <w:pPr>
        <w:snapToGrid w:val="0"/>
        <w:rPr>
          <w:rFonts w:ascii="仿宋_GB2312" w:eastAsia="仿宋_GB2312" w:hAnsi="仿宋"/>
          <w:sz w:val="32"/>
          <w:szCs w:val="32"/>
        </w:rPr>
      </w:pPr>
    </w:p>
    <w:p w:rsidR="00B376E8" w:rsidRDefault="00876046">
      <w:pPr>
        <w:snapToGrid w:val="0"/>
        <w:rPr>
          <w:rFonts w:ascii="仿宋_GB2312" w:eastAsia="仿宋_GB2312" w:hAnsi="仿宋"/>
          <w:sz w:val="32"/>
          <w:szCs w:val="32"/>
        </w:rPr>
      </w:pPr>
      <w:r>
        <w:rPr>
          <w:rFonts w:ascii="仿宋_GB2312" w:eastAsia="仿宋_GB2312" w:hAnsi="仿宋" w:hint="eastAsia"/>
          <w:sz w:val="32"/>
          <w:szCs w:val="32"/>
        </w:rPr>
        <w:t>附：</w:t>
      </w:r>
    </w:p>
    <w:p w:rsidR="00B376E8" w:rsidRDefault="00B376E8">
      <w:pPr>
        <w:snapToGrid w:val="0"/>
        <w:ind w:firstLineChars="200" w:firstLine="640"/>
        <w:jc w:val="center"/>
        <w:rPr>
          <w:rFonts w:ascii="华文中宋" w:eastAsia="华文中宋" w:hAnsi="华文中宋"/>
          <w:sz w:val="32"/>
          <w:szCs w:val="32"/>
        </w:rPr>
      </w:pPr>
    </w:p>
    <w:p w:rsidR="00B376E8" w:rsidRDefault="00876046">
      <w:pPr>
        <w:snapToGrid w:val="0"/>
        <w:ind w:firstLineChars="200" w:firstLine="640"/>
        <w:jc w:val="center"/>
        <w:rPr>
          <w:rFonts w:ascii="华文中宋" w:eastAsia="华文中宋" w:hAnsi="华文中宋"/>
          <w:sz w:val="32"/>
          <w:szCs w:val="32"/>
        </w:rPr>
      </w:pPr>
      <w:r>
        <w:rPr>
          <w:rFonts w:ascii="华文中宋" w:eastAsia="华文中宋" w:hAnsi="华文中宋" w:hint="eastAsia"/>
          <w:sz w:val="32"/>
          <w:szCs w:val="32"/>
        </w:rPr>
        <w:t>行政事业单位财务分析指标</w:t>
      </w:r>
    </w:p>
    <w:p w:rsidR="00B376E8" w:rsidRDefault="00B376E8">
      <w:pPr>
        <w:snapToGrid w:val="0"/>
        <w:ind w:firstLineChars="200" w:firstLine="640"/>
        <w:rPr>
          <w:rFonts w:ascii="仿宋_GB2312" w:eastAsia="仿宋_GB2312" w:hAnsi="仿宋"/>
          <w:sz w:val="32"/>
          <w:szCs w:val="32"/>
        </w:rPr>
      </w:pPr>
    </w:p>
    <w:p w:rsidR="00B376E8" w:rsidRDefault="00876046">
      <w:pPr>
        <w:snapToGrid w:val="0"/>
        <w:ind w:firstLineChars="200" w:firstLine="640"/>
        <w:rPr>
          <w:rFonts w:ascii="黑体" w:eastAsia="黑体" w:hAnsi="黑体"/>
          <w:sz w:val="32"/>
          <w:szCs w:val="32"/>
        </w:rPr>
      </w:pPr>
      <w:r>
        <w:rPr>
          <w:rFonts w:ascii="黑体" w:eastAsia="黑体" w:hAnsi="黑体" w:hint="eastAsia"/>
          <w:sz w:val="32"/>
          <w:szCs w:val="32"/>
        </w:rPr>
        <w:t>一、行政单位财务分析指标</w:t>
      </w:r>
    </w:p>
    <w:p w:rsidR="00B376E8" w:rsidRDefault="00876046">
      <w:pPr>
        <w:snapToGrid w:val="0"/>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支出增长率，衡量行政单位支出的增长水平。计算公式为：</w:t>
      </w:r>
    </w:p>
    <w:p w:rsidR="00B376E8" w:rsidRDefault="00876046">
      <w:pPr>
        <w:snapToGrid w:val="0"/>
        <w:ind w:firstLineChars="200" w:firstLine="640"/>
        <w:rPr>
          <w:rFonts w:ascii="仿宋_GB2312" w:eastAsia="仿宋_GB2312" w:hAnsi="仿宋"/>
          <w:sz w:val="32"/>
          <w:szCs w:val="32"/>
        </w:rPr>
      </w:pPr>
      <w:r>
        <w:rPr>
          <w:rFonts w:ascii="仿宋_GB2312" w:eastAsia="仿宋_GB2312" w:hAnsi="仿宋" w:hint="eastAsia"/>
          <w:sz w:val="32"/>
          <w:szCs w:val="32"/>
        </w:rPr>
        <w:t>支出增长率＝</w:t>
      </w:r>
      <w:r>
        <w:rPr>
          <w:rFonts w:ascii="仿宋_GB2312" w:eastAsia="仿宋_GB2312" w:hAnsi="仿宋" w:hint="eastAsia"/>
          <w:sz w:val="32"/>
          <w:szCs w:val="32"/>
        </w:rPr>
        <w:t>(</w:t>
      </w:r>
      <w:r>
        <w:rPr>
          <w:rFonts w:ascii="仿宋_GB2312" w:eastAsia="仿宋_GB2312" w:hAnsi="仿宋" w:hint="eastAsia"/>
          <w:sz w:val="32"/>
          <w:szCs w:val="32"/>
        </w:rPr>
        <w:t>本期支出总额÷上期支出总额</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100%</w:t>
      </w:r>
    </w:p>
    <w:p w:rsidR="00B376E8" w:rsidRDefault="00876046">
      <w:pPr>
        <w:snapToGri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当年预算支出完成率，衡量行政单位当年支出总预算及分项预算完成的程度。计算公式为：</w:t>
      </w:r>
    </w:p>
    <w:p w:rsidR="00B376E8" w:rsidRDefault="00876046">
      <w:pPr>
        <w:snapToGrid w:val="0"/>
        <w:ind w:firstLineChars="200" w:firstLine="640"/>
        <w:rPr>
          <w:rFonts w:ascii="仿宋_GB2312" w:eastAsia="仿宋_GB2312" w:hAnsi="仿宋"/>
          <w:sz w:val="32"/>
          <w:szCs w:val="32"/>
        </w:rPr>
      </w:pPr>
      <w:r>
        <w:rPr>
          <w:rFonts w:ascii="仿宋_GB2312" w:eastAsia="仿宋_GB2312" w:hAnsi="仿宋" w:hint="eastAsia"/>
          <w:sz w:val="32"/>
          <w:szCs w:val="32"/>
        </w:rPr>
        <w:t>当年预算支出完成率＝年终</w:t>
      </w:r>
      <w:r>
        <w:rPr>
          <w:rFonts w:ascii="仿宋_GB2312" w:eastAsia="仿宋_GB2312" w:hAnsi="仿宋" w:hint="eastAsia"/>
          <w:sz w:val="32"/>
          <w:szCs w:val="32"/>
        </w:rPr>
        <w:t>执行数÷</w:t>
      </w:r>
      <w:r>
        <w:rPr>
          <w:rFonts w:ascii="仿宋_GB2312" w:eastAsia="仿宋_GB2312" w:hAnsi="仿宋" w:hint="eastAsia"/>
          <w:sz w:val="32"/>
          <w:szCs w:val="32"/>
        </w:rPr>
        <w:t>全年</w:t>
      </w:r>
      <w:r>
        <w:rPr>
          <w:rFonts w:ascii="仿宋_GB2312" w:eastAsia="仿宋_GB2312" w:hAnsi="仿宋" w:hint="eastAsia"/>
          <w:sz w:val="32"/>
          <w:szCs w:val="32"/>
        </w:rPr>
        <w:t>预</w:t>
      </w:r>
      <w:r>
        <w:rPr>
          <w:rFonts w:ascii="仿宋_GB2312" w:eastAsia="仿宋_GB2312" w:hAnsi="仿宋" w:hint="eastAsia"/>
          <w:sz w:val="32"/>
          <w:szCs w:val="32"/>
        </w:rPr>
        <w:t>算数×</w:t>
      </w:r>
      <w:r>
        <w:rPr>
          <w:rFonts w:ascii="仿宋_GB2312" w:eastAsia="仿宋_GB2312" w:hAnsi="仿宋" w:hint="eastAsia"/>
          <w:sz w:val="32"/>
          <w:szCs w:val="32"/>
        </w:rPr>
        <w:t>100%</w:t>
      </w:r>
    </w:p>
    <w:p w:rsidR="00B376E8" w:rsidRDefault="00B376E8">
      <w:pPr>
        <w:rPr>
          <w:rFonts w:ascii="仿宋_GB2312" w:eastAsia="仿宋_GB2312" w:hAnsi="仿宋_GB2312" w:cs="仿宋_GB2312"/>
          <w:sz w:val="32"/>
          <w:szCs w:val="32"/>
        </w:rPr>
      </w:pPr>
    </w:p>
    <w:p w:rsidR="00B376E8" w:rsidRDefault="00876046">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p>
    <w:p w:rsidR="00B376E8" w:rsidRDefault="00B376E8">
      <w:pPr>
        <w:widowControl/>
        <w:ind w:firstLineChars="200" w:firstLine="420"/>
        <w:textAlignment w:val="center"/>
        <w:rPr>
          <w:color w:val="0000FF"/>
        </w:rPr>
      </w:pPr>
    </w:p>
    <w:p w:rsidR="00B376E8" w:rsidRDefault="00B376E8"/>
    <w:sectPr w:rsidR="00B376E8" w:rsidSect="00B376E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FDC0C"/>
    <w:multiLevelType w:val="singleLevel"/>
    <w:tmpl w:val="43BFDC0C"/>
    <w:lvl w:ilvl="0">
      <w:start w:val="6"/>
      <w:numFmt w:val="chineseCounting"/>
      <w:suff w:val="nothing"/>
      <w:lvlText w:val="（%1）"/>
      <w:lvlJc w:val="left"/>
      <w:rPr>
        <w:rFonts w:hint="eastAsia"/>
      </w:rPr>
    </w:lvl>
  </w:abstractNum>
  <w:abstractNum w:abstractNumId="1">
    <w:nsid w:val="4719D688"/>
    <w:multiLevelType w:val="singleLevel"/>
    <w:tmpl w:val="4719D688"/>
    <w:lvl w:ilvl="0">
      <w:start w:val="2"/>
      <w:numFmt w:val="decimal"/>
      <w:suff w:val="nothing"/>
      <w:lvlText w:val="%1．"/>
      <w:lvlJc w:val="left"/>
      <w:pPr>
        <w:ind w:left="-10"/>
      </w:pPr>
    </w:lvl>
  </w:abstractNum>
  <w:abstractNum w:abstractNumId="2">
    <w:nsid w:val="670C8278"/>
    <w:multiLevelType w:val="singleLevel"/>
    <w:tmpl w:val="670C8278"/>
    <w:lvl w:ilvl="0">
      <w:start w:val="1"/>
      <w:numFmt w:val="decimal"/>
      <w:suff w:val="nothing"/>
      <w:lvlText w:val="（%1）"/>
      <w:lvlJc w:val="left"/>
    </w:lvl>
  </w:abstractNum>
  <w:abstractNum w:abstractNumId="3">
    <w:nsid w:val="72EBB11B"/>
    <w:multiLevelType w:val="singleLevel"/>
    <w:tmpl w:val="72EBB11B"/>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6652034"/>
    <w:rsid w:val="000C6C0A"/>
    <w:rsid w:val="004F1348"/>
    <w:rsid w:val="00876046"/>
    <w:rsid w:val="00B376E8"/>
    <w:rsid w:val="00F03749"/>
    <w:rsid w:val="26652034"/>
    <w:rsid w:val="54450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376E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376E8"/>
    <w:pPr>
      <w:spacing w:before="340" w:after="320" w:line="560" w:lineRule="exact"/>
      <w:jc w:val="center"/>
      <w:outlineLvl w:val="0"/>
    </w:pPr>
    <w:rPr>
      <w:rFonts w:ascii="宋体" w:eastAsia="方正小标宋简体" w:hAnsi="宋体" w:hint="eastAsia"/>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376E8"/>
    <w:rPr>
      <w:rFonts w:ascii="宋体" w:hAnsi="宋体" w:cs="宋体"/>
      <w:sz w:val="24"/>
      <w:lang w:val="zh-CN" w:bidi="zh-CN"/>
    </w:rPr>
  </w:style>
  <w:style w:type="paragraph" w:styleId="a4">
    <w:name w:val="Normal (Web)"/>
    <w:basedOn w:val="a"/>
    <w:uiPriority w:val="99"/>
    <w:unhideWhenUsed/>
    <w:qFormat/>
    <w:rsid w:val="00B376E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3232</Words>
  <Characters>515</Characters>
  <Application>Microsoft Office Word</Application>
  <DocSecurity>0</DocSecurity>
  <Lines>4</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2024-02-04T01:31:00Z</dcterms:created>
  <dcterms:modified xsi:type="dcterms:W3CDTF">2024-02-20T03:10:00Z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0A96477AB3A445ECBE0E8BAF20A562C1</vt:lpwstr>
  </property>
</Properties>
</file>