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 w:hAnsi="仿宋" w:eastAsia="仿宋" w:cs="方正仿宋简体"/>
          <w:sz w:val="32"/>
          <w:szCs w:val="32"/>
        </w:rPr>
      </w:pPr>
    </w:p>
    <w:p>
      <w:pPr>
        <w:jc w:val="center"/>
        <w:rPr>
          <w:rFonts w:hint="eastAsia"/>
          <w:sz w:val="44"/>
          <w:szCs w:val="44"/>
        </w:rPr>
      </w:pPr>
    </w:p>
    <w:p>
      <w:pPr>
        <w:jc w:val="center"/>
        <w:rPr>
          <w:rFonts w:hint="eastAsia"/>
          <w:sz w:val="44"/>
          <w:szCs w:val="44"/>
        </w:rPr>
      </w:pPr>
    </w:p>
    <w:p>
      <w:pPr>
        <w:jc w:val="center"/>
        <w:rPr>
          <w:rFonts w:hint="eastAsia"/>
          <w:sz w:val="44"/>
          <w:szCs w:val="44"/>
        </w:rPr>
      </w:pPr>
    </w:p>
    <w:p>
      <w:pPr>
        <w:spacing w:line="640" w:lineRule="exact"/>
        <w:jc w:val="center"/>
        <w:rPr>
          <w:rFonts w:hint="eastAsia" w:ascii="黑体" w:eastAsia="黑体"/>
          <w:b/>
          <w:sz w:val="52"/>
          <w:szCs w:val="52"/>
        </w:rPr>
      </w:pPr>
    </w:p>
    <w:p>
      <w:pPr>
        <w:spacing w:line="640" w:lineRule="exact"/>
        <w:jc w:val="center"/>
        <w:rPr>
          <w:rFonts w:hint="eastAsia" w:ascii="黑体" w:eastAsia="黑体"/>
          <w:b/>
          <w:sz w:val="52"/>
          <w:szCs w:val="52"/>
        </w:rPr>
      </w:pPr>
    </w:p>
    <w:p>
      <w:pPr>
        <w:snapToGrid w:val="0"/>
        <w:jc w:val="center"/>
        <w:outlineLvl w:val="0"/>
        <w:rPr>
          <w:rFonts w:ascii="华文中宋" w:hAnsi="华文中宋" w:eastAsia="华文中宋"/>
          <w:sz w:val="36"/>
          <w:szCs w:val="36"/>
        </w:rPr>
      </w:pPr>
      <w:r>
        <w:rPr>
          <w:rFonts w:hint="eastAsia" w:ascii="华文中宋" w:hAnsi="华文中宋" w:eastAsia="华文中宋"/>
          <w:sz w:val="36"/>
          <w:szCs w:val="36"/>
        </w:rPr>
        <w:t>202</w:t>
      </w:r>
      <w:r>
        <w:rPr>
          <w:rFonts w:ascii="华文中宋" w:hAnsi="华文中宋" w:eastAsia="华文中宋"/>
          <w:sz w:val="36"/>
          <w:szCs w:val="36"/>
        </w:rPr>
        <w:t>3</w:t>
      </w:r>
      <w:r>
        <w:rPr>
          <w:rFonts w:hint="eastAsia" w:ascii="华文中宋" w:hAnsi="华文中宋" w:eastAsia="华文中宋"/>
          <w:sz w:val="36"/>
          <w:szCs w:val="36"/>
        </w:rPr>
        <w:t>年度部门决算分析报告撰写提纲</w:t>
      </w:r>
    </w:p>
    <w:p>
      <w:pPr>
        <w:snapToGrid w:val="0"/>
        <w:jc w:val="center"/>
        <w:outlineLvl w:val="0"/>
        <w:rPr>
          <w:rFonts w:ascii="华文中宋" w:hAnsi="华文中宋" w:eastAsia="华文中宋"/>
          <w:sz w:val="36"/>
          <w:szCs w:val="36"/>
        </w:rPr>
      </w:pPr>
      <w:r>
        <w:rPr>
          <w:rFonts w:hint="eastAsia" w:ascii="华文中宋" w:hAnsi="华文中宋" w:eastAsia="华文中宋"/>
          <w:sz w:val="36"/>
          <w:szCs w:val="36"/>
        </w:rPr>
        <w:t>（部门汇总版）</w:t>
      </w:r>
    </w:p>
    <w:p>
      <w:pPr>
        <w:spacing w:line="576" w:lineRule="exact"/>
        <w:ind w:firstLine="960" w:firstLineChars="200"/>
        <w:jc w:val="center"/>
        <w:rPr>
          <w:rFonts w:hint="eastAsia" w:ascii="黑体" w:hAnsi="宋体" w:eastAsia="黑体"/>
          <w:sz w:val="48"/>
          <w:szCs w:val="48"/>
        </w:rPr>
      </w:pPr>
    </w:p>
    <w:p>
      <w:pPr>
        <w:snapToGrid w:val="0"/>
        <w:spacing w:line="520" w:lineRule="exact"/>
        <w:ind w:firstLine="640" w:firstLineChars="200"/>
        <w:rPr>
          <w:rFonts w:ascii="黑体" w:hAnsi="黑体" w:eastAsia="黑体"/>
          <w:sz w:val="32"/>
          <w:szCs w:val="32"/>
        </w:rPr>
      </w:pPr>
      <w:bookmarkStart w:id="0" w:name="YS060101"/>
      <w:r>
        <w:rPr>
          <w:rFonts w:hint="eastAsia" w:ascii="黑体" w:hAnsi="黑体" w:eastAsia="黑体"/>
          <w:sz w:val="32"/>
          <w:szCs w:val="32"/>
        </w:rPr>
        <w:t>一、部门情况</w:t>
      </w:r>
    </w:p>
    <w:bookmarkEnd w:id="0"/>
    <w:p>
      <w:pPr>
        <w:snapToGrid w:val="0"/>
        <w:spacing w:line="520" w:lineRule="exact"/>
        <w:ind w:firstLine="643" w:firstLineChars="200"/>
        <w:rPr>
          <w:rFonts w:ascii="楷体_GB2312" w:hAnsi="仿宋" w:eastAsia="楷体_GB2312"/>
          <w:b/>
          <w:sz w:val="32"/>
          <w:szCs w:val="32"/>
        </w:rPr>
      </w:pPr>
      <w:r>
        <w:rPr>
          <w:rFonts w:hint="eastAsia" w:ascii="楷体_GB2312" w:hAnsi="仿宋" w:eastAsia="楷体_GB2312"/>
          <w:b/>
          <w:sz w:val="32"/>
          <w:szCs w:val="32"/>
        </w:rPr>
        <w:t>（一）基本情况。</w:t>
      </w:r>
    </w:p>
    <w:p>
      <w:pPr>
        <w:spacing w:line="560" w:lineRule="exact"/>
        <w:ind w:firstLine="640" w:firstLineChars="200"/>
        <w:rPr>
          <w:rFonts w:ascii="仿宋" w:hAnsi="仿宋" w:eastAsia="仿宋" w:cs="仿宋"/>
          <w:color w:val="000000"/>
          <w:sz w:val="32"/>
          <w:szCs w:val="32"/>
        </w:rPr>
      </w:pPr>
      <w:r>
        <w:rPr>
          <w:rFonts w:hint="eastAsia" w:ascii="仿宋_GB2312" w:hAnsi="仿宋" w:eastAsia="仿宋_GB2312"/>
          <w:sz w:val="32"/>
          <w:szCs w:val="32"/>
        </w:rPr>
        <w:t>1．主要职能</w:t>
      </w:r>
    </w:p>
    <w:p>
      <w:pPr>
        <w:spacing w:line="540" w:lineRule="exact"/>
        <w:ind w:firstLine="699" w:firstLineChars="233"/>
        <w:rPr>
          <w:rFonts w:hint="eastAsia" w:ascii="仿宋" w:hAnsi="仿宋" w:eastAsia="仿宋"/>
          <w:color w:val="000000" w:themeColor="text1"/>
          <w:sz w:val="30"/>
          <w:szCs w:val="30"/>
        </w:rPr>
      </w:pPr>
      <w:r>
        <w:rPr>
          <w:rFonts w:hint="eastAsia" w:ascii="仿宋" w:hAnsi="仿宋" w:eastAsia="仿宋"/>
          <w:color w:val="000000" w:themeColor="text1"/>
          <w:sz w:val="30"/>
          <w:szCs w:val="30"/>
        </w:rPr>
        <w:t>根据《中央编办关于地方机构改革期间推进和规范事业单位调整的通知》（中央编办发〔2018〕203号）、《关于印发＜西藏自治区党政机构改革涉及事业单位调整的实施方案＞的通知》（藏机编办发〔2020）10号)和《关于类乌齐县部分事业单位机构编制调整的通知》（昌机编发〔2020〕70号)精神，经县委编委研究同意，现就机构编制有关事项通知如下：</w:t>
      </w:r>
    </w:p>
    <w:p>
      <w:pPr>
        <w:spacing w:line="540" w:lineRule="exact"/>
        <w:rPr>
          <w:rFonts w:hint="eastAsia" w:ascii="仿宋" w:hAnsi="仿宋" w:eastAsia="仿宋"/>
          <w:b/>
          <w:sz w:val="30"/>
          <w:szCs w:val="30"/>
        </w:rPr>
      </w:pPr>
      <w:r>
        <w:rPr>
          <w:rFonts w:hint="eastAsia" w:ascii="仿宋" w:hAnsi="仿宋" w:eastAsia="仿宋"/>
          <w:b/>
          <w:sz w:val="30"/>
          <w:szCs w:val="30"/>
        </w:rPr>
        <w:t>一、县委党校（行政学校）</w:t>
      </w:r>
    </w:p>
    <w:p>
      <w:pPr>
        <w:spacing w:line="540" w:lineRule="exact"/>
        <w:ind w:firstLine="600" w:firstLineChars="200"/>
        <w:rPr>
          <w:rFonts w:hint="eastAsia" w:ascii="仿宋" w:hAnsi="仿宋" w:eastAsia="仿宋"/>
          <w:sz w:val="30"/>
          <w:szCs w:val="30"/>
        </w:rPr>
      </w:pPr>
      <w:r>
        <w:rPr>
          <w:rFonts w:hint="eastAsia" w:ascii="仿宋" w:hAnsi="仿宋" w:eastAsia="仿宋"/>
          <w:sz w:val="30"/>
          <w:szCs w:val="30"/>
        </w:rPr>
        <w:t>在县委党校加挂牌子。管理体制由县委组织部管理的事业单位调整为县委直属事业单位，归口县委组织部管理。为参照公务员法管理事业单位，正科级建制，核定事业编制4名，其中：科级领导职数2名。</w:t>
      </w:r>
    </w:p>
    <w:p>
      <w:pPr>
        <w:pStyle w:val="3"/>
        <w:rPr>
          <w:rFonts w:hint="eastAsia" w:ascii="仿宋" w:hAnsi="仿宋" w:eastAsia="仿宋" w:cs="仿宋"/>
          <w:b w:val="0"/>
          <w:bCs/>
        </w:rPr>
      </w:pPr>
      <w:r>
        <w:rPr>
          <w:rFonts w:hint="eastAsia" w:ascii="仿宋" w:hAnsi="仿宋" w:eastAsia="仿宋"/>
          <w:b/>
          <w:bCs/>
          <w:sz w:val="30"/>
          <w:szCs w:val="30"/>
        </w:rPr>
        <w:t>单位主要职能职责</w:t>
      </w:r>
      <w:r>
        <w:rPr>
          <w:rFonts w:hint="eastAsia" w:ascii="仿宋" w:hAnsi="仿宋" w:eastAsia="仿宋"/>
          <w:sz w:val="30"/>
          <w:szCs w:val="30"/>
        </w:rPr>
        <w:t>：</w:t>
      </w:r>
      <w:r>
        <w:rPr>
          <w:rFonts w:hint="eastAsia" w:ascii="楷体_GB2312" w:hAnsi="楷体_GB2312" w:eastAsia="楷体_GB2312" w:cs="楷体_GB2312"/>
          <w:b w:val="0"/>
          <w:sz w:val="32"/>
          <w:szCs w:val="32"/>
        </w:rPr>
        <w:t>一、主要职能</w:t>
      </w:r>
      <w:r>
        <w:rPr>
          <w:rFonts w:hint="eastAsia" w:ascii="仿宋" w:hAnsi="仿宋" w:eastAsia="仿宋" w:cs="仿宋"/>
          <w:b w:val="0"/>
          <w:bCs/>
        </w:rPr>
        <w:t>1.负责贯彻执行《中国共产党党校（行政学院）工作条例》；负责培训县、乡镇党政领导干部、公务员、国有企事业单位领导人员、年轻干部、理论宣传骨干、高层次人才、基层干部、党员，开展党校（行政学校）系统师资培训；加强马克思主义基本理论研究，重点研究宣传习近平新时代中国特色社会主义思想；承办县委和政府以及相关部门举办的专题研讨班；开展重大理论和现实问题研究，承担县委和政府决策咨询服务；参与县干部培训计划的制定工作；承办县委和县委组织部交办的其他事项。2.贯彻执行党和国家有关新闻宣传、媒体融合发展、广播电视电影等方面的方针政策、法律法规规章以及《县级融媒体中心建设规范》等，拟订全县融媒体事业发展规划、年度计划，经批准后组织实施；负责整合全县广播电视、纸质煤体、网络煤体等资源，围绕县委、县政府中心工作开展重大宣传报道活动，全面、准确、及时宣传党的路线、方针、政策，充分发挥党和政府的喉舌作用，把握正确舆论导向，不断提升新闻舆论的传播力、影响力、引导力和公信力，巩固壮大主流思想舆论。为</w:t>
      </w:r>
      <w:r>
        <w:rPr>
          <w:rFonts w:hint="eastAsia" w:ascii="仿宋" w:hAnsi="仿宋" w:eastAsia="仿宋" w:cs="仿宋"/>
          <w:b w:val="0"/>
          <w:szCs w:val="32"/>
        </w:rPr>
        <w:t xml:space="preserve">全县改革发展稳定提供良好的舆论支持；按照建设主流舆论阵地、综合服务平台和社区信息枢纽等要求，引进、使用、推广新媒体新技术，推进传统媒体与新媒体新技术新业态融合发展，探索打造“媒体+政务+服务”于一体的融媒体平台，面向群众提供政务服务、民生服务和各类生活信息服务；坚持移动优先战略，做好全媒体平台的舆论宣传策划、采集、编辑、安全审核、发布、播出以及更新、维护工作；负责县级官方新闻门户网站、微信微博抖音、手机客户端等新兴煤体的建设、运营、维护、更新和推广应用；严格执行广播电视、互联网行业法规，做好中央、自治区、市广播电视节目与网络视听节目的转播工作，开办具有地方特色的广播、电视和互联网视听节目；负责中心技术设备安全监管和值机监控，确保广播电视节目播出安全、网络信息传输安全；协助配合市级以上主流煤体及网络媒体的采访工作；为县委、县政府提供舆情信息，发挥民意收集、建言资政作用；协调各乡镇、县直各单位的新闻宣传业务；探索舆论宣传、媒体资产管理新机制，组织抓好媒体经营，促进媒体产业发展；抓好新闻工作者队伍建设；承办县委、县政府和县委宣传部交办的其他事项。 </w:t>
      </w:r>
    </w:p>
    <w:p>
      <w:pPr>
        <w:pStyle w:val="3"/>
        <w:ind w:firstLine="640" w:firstLineChars="200"/>
        <w:rPr>
          <w:rFonts w:hint="eastAsia" w:ascii="仿宋" w:hAnsi="仿宋" w:eastAsia="仿宋" w:cs="仿宋"/>
          <w:b w:val="0"/>
          <w:bCs/>
        </w:rPr>
      </w:pPr>
      <w:r>
        <w:rPr>
          <w:rFonts w:hint="eastAsia" w:ascii="仿宋" w:hAnsi="仿宋" w:eastAsia="仿宋" w:cs="仿宋"/>
          <w:b w:val="0"/>
          <w:bCs/>
        </w:rPr>
        <w:t>正科级建制，核定事业编制10名，其中：科级领导职数3名。经费来源为财政全额拨款。</w:t>
      </w:r>
    </w:p>
    <w:p>
      <w:pPr>
        <w:ind w:firstLine="630" w:firstLineChars="196"/>
        <w:rPr>
          <w:rFonts w:hint="eastAsia" w:ascii="黑体" w:hAnsi="宋体" w:eastAsia="黑体"/>
          <w:b/>
          <w:sz w:val="32"/>
          <w:szCs w:val="32"/>
        </w:rPr>
      </w:pPr>
    </w:p>
    <w:p>
      <w:pPr>
        <w:snapToGrid w:val="0"/>
        <w:spacing w:line="520" w:lineRule="exact"/>
        <w:ind w:firstLine="643" w:firstLineChars="200"/>
        <w:rPr>
          <w:rFonts w:hint="eastAsia" w:ascii="楷体_GB2312" w:hAnsi="仿宋" w:eastAsia="楷体_GB2312" w:cs="Times New Roman"/>
          <w:b/>
          <w:sz w:val="32"/>
          <w:szCs w:val="32"/>
        </w:rPr>
      </w:pPr>
      <w:r>
        <w:rPr>
          <w:rFonts w:hint="eastAsia" w:ascii="楷体_GB2312" w:hAnsi="仿宋" w:eastAsia="楷体_GB2312" w:cs="Times New Roman"/>
          <w:b/>
          <w:sz w:val="32"/>
          <w:szCs w:val="32"/>
        </w:rPr>
        <w:t>（</w:t>
      </w:r>
      <w:r>
        <w:rPr>
          <w:rFonts w:hint="eastAsia" w:ascii="楷体_GB2312" w:hAnsi="仿宋" w:eastAsia="楷体_GB2312" w:cs="Times New Roman"/>
          <w:b/>
          <w:sz w:val="32"/>
          <w:szCs w:val="32"/>
          <w:lang w:val="en-US" w:eastAsia="zh-CN"/>
        </w:rPr>
        <w:t>二</w:t>
      </w:r>
      <w:r>
        <w:rPr>
          <w:rFonts w:hint="eastAsia" w:ascii="楷体_GB2312" w:hAnsi="仿宋" w:eastAsia="楷体_GB2312" w:cs="Times New Roman"/>
          <w:b/>
          <w:sz w:val="32"/>
          <w:szCs w:val="32"/>
        </w:rPr>
        <w:t>）机构情况。</w:t>
      </w:r>
    </w:p>
    <w:p>
      <w:pPr>
        <w:ind w:firstLine="480" w:firstLineChars="150"/>
        <w:rPr>
          <w:rFonts w:ascii="黑体" w:hAnsi="黑体" w:eastAsia="黑体" w:cs="宋体"/>
          <w:bCs/>
          <w:sz w:val="32"/>
          <w:szCs w:val="32"/>
        </w:rPr>
      </w:pPr>
      <w:r>
        <w:rPr>
          <w:rFonts w:hint="eastAsia" w:ascii="仿宋_GB2312" w:eastAsia="仿宋_GB2312" w:cs="宋体"/>
          <w:sz w:val="32"/>
          <w:szCs w:val="32"/>
        </w:rPr>
        <w:t>类乌齐县融媒体中心下设有联合办公室，指挥中心，调频，应急广播</w:t>
      </w:r>
      <w:r>
        <w:rPr>
          <w:rFonts w:hint="default" w:ascii="仿宋_GB2312" w:eastAsia="仿宋_GB2312" w:cs="宋体"/>
          <w:sz w:val="32"/>
          <w:szCs w:val="32"/>
          <w:lang w:val="en-US"/>
        </w:rPr>
        <w:t>4</w:t>
      </w:r>
      <w:r>
        <w:rPr>
          <w:rFonts w:ascii="仿宋_GB2312" w:eastAsia="仿宋_GB2312" w:cs="宋体"/>
          <w:sz w:val="32"/>
          <w:szCs w:val="32"/>
        </w:rPr>
        <w:t>个内设机构</w:t>
      </w:r>
      <w:r>
        <w:rPr>
          <w:rFonts w:hint="eastAsia" w:ascii="仿宋_GB2312" w:eastAsia="仿宋_GB2312" w:cs="宋体"/>
          <w:sz w:val="32"/>
          <w:szCs w:val="32"/>
        </w:rPr>
        <w:t>。</w:t>
      </w:r>
    </w:p>
    <w:p>
      <w:pPr>
        <w:widowControl/>
        <w:shd w:val="clear" w:color="auto" w:fill="FFFFFF"/>
        <w:spacing w:line="576" w:lineRule="exact"/>
        <w:ind w:firstLine="640" w:firstLineChars="200"/>
        <w:rPr>
          <w:rFonts w:ascii="仿宋_GB2312" w:hAnsi="仿宋_GB2312" w:eastAsia="仿宋_GB2312" w:cs="仿宋_GB2312"/>
          <w:color w:val="333333"/>
          <w:kern w:val="0"/>
          <w:sz w:val="32"/>
          <w:szCs w:val="32"/>
          <w:shd w:val="clear" w:color="auto" w:fill="FFFFFF"/>
          <w:lang w:bidi="ar"/>
        </w:rPr>
      </w:pPr>
    </w:p>
    <w:p>
      <w:pPr>
        <w:snapToGrid w:val="0"/>
        <w:spacing w:line="520" w:lineRule="exact"/>
        <w:ind w:firstLine="643" w:firstLineChars="200"/>
        <w:rPr>
          <w:rFonts w:hint="eastAsia" w:ascii="楷体_GB2312" w:hAnsi="仿宋" w:eastAsia="楷体_GB2312" w:cs="Times New Roman"/>
          <w:b/>
          <w:sz w:val="32"/>
          <w:szCs w:val="32"/>
        </w:rPr>
      </w:pPr>
      <w:r>
        <w:rPr>
          <w:rFonts w:hint="eastAsia" w:ascii="楷体_GB2312" w:hAnsi="仿宋" w:eastAsia="楷体_GB2312" w:cs="Times New Roman"/>
          <w:b/>
          <w:sz w:val="32"/>
          <w:szCs w:val="32"/>
        </w:rPr>
        <w:t>（</w:t>
      </w:r>
      <w:r>
        <w:rPr>
          <w:rFonts w:hint="eastAsia" w:ascii="楷体_GB2312" w:hAnsi="仿宋" w:eastAsia="楷体_GB2312" w:cs="Times New Roman"/>
          <w:b/>
          <w:sz w:val="32"/>
          <w:szCs w:val="32"/>
          <w:lang w:val="en-US" w:eastAsia="zh-CN"/>
        </w:rPr>
        <w:t>三</w:t>
      </w:r>
      <w:r>
        <w:rPr>
          <w:rFonts w:hint="eastAsia" w:ascii="楷体_GB2312" w:hAnsi="仿宋" w:eastAsia="楷体_GB2312" w:cs="Times New Roman"/>
          <w:b/>
          <w:sz w:val="32"/>
          <w:szCs w:val="32"/>
        </w:rPr>
        <w:t>）人员情况。</w:t>
      </w:r>
    </w:p>
    <w:p>
      <w:pPr>
        <w:numPr>
          <w:ilvl w:val="0"/>
          <w:numId w:val="1"/>
        </w:numPr>
        <w:spacing w:line="540" w:lineRule="exact"/>
        <w:ind w:firstLine="450" w:firstLineChars="150"/>
        <w:rPr>
          <w:rFonts w:ascii="仿宋_GB2312" w:hAnsi="仿宋_GB2312" w:eastAsia="仿宋_GB2312" w:cs="仿宋_GB2312"/>
          <w:b/>
          <w:bCs/>
          <w:sz w:val="32"/>
        </w:rPr>
      </w:pPr>
      <w:r>
        <w:rPr>
          <w:rFonts w:hint="eastAsia" w:ascii="仿宋" w:hAnsi="仿宋" w:eastAsia="仿宋" w:cs="仿宋"/>
          <w:color w:val="000000"/>
          <w:sz w:val="30"/>
          <w:szCs w:val="30"/>
        </w:rPr>
        <w:t>西藏类乌齐县</w:t>
      </w:r>
      <w:r>
        <w:rPr>
          <w:rFonts w:hint="eastAsia" w:ascii="仿宋" w:hAnsi="仿宋" w:eastAsia="仿宋" w:cs="仿宋"/>
          <w:color w:val="000000"/>
          <w:sz w:val="30"/>
          <w:szCs w:val="30"/>
          <w:lang w:val="en-US" w:eastAsia="zh-CN"/>
        </w:rPr>
        <w:t>融媒体中心（西藏类乌齐县广播电视台）</w:t>
      </w:r>
      <w:r>
        <w:rPr>
          <w:rFonts w:hint="eastAsia" w:ascii="仿宋" w:hAnsi="仿宋" w:eastAsia="仿宋" w:cs="仿宋"/>
          <w:color w:val="000000"/>
          <w:sz w:val="30"/>
          <w:szCs w:val="30"/>
        </w:rPr>
        <w:t>，内设正科机构0个，事业编制人数</w:t>
      </w:r>
      <w:r>
        <w:rPr>
          <w:rFonts w:hint="default" w:ascii="仿宋" w:hAnsi="仿宋" w:eastAsia="仿宋" w:cs="仿宋"/>
          <w:color w:val="000000"/>
          <w:sz w:val="30"/>
          <w:szCs w:val="30"/>
          <w:lang w:val="en-US"/>
        </w:rPr>
        <w:t>13</w:t>
      </w:r>
      <w:r>
        <w:rPr>
          <w:rFonts w:hint="eastAsia" w:ascii="仿宋" w:hAnsi="仿宋" w:eastAsia="仿宋" w:cs="仿宋"/>
          <w:color w:val="000000"/>
          <w:sz w:val="30"/>
          <w:szCs w:val="30"/>
        </w:rPr>
        <w:t>人（含参公人员 0人）工勤人员编制0人。单位实有在编人数13人，</w:t>
      </w:r>
      <w:r>
        <w:rPr>
          <w:rFonts w:hint="eastAsia" w:ascii="仿宋" w:hAnsi="仿宋" w:eastAsia="仿宋" w:cs="仿宋"/>
          <w:color w:val="000000"/>
          <w:sz w:val="30"/>
          <w:szCs w:val="30"/>
          <w:lang w:eastAsia="zh-CN"/>
        </w:rPr>
        <w:t>（</w:t>
      </w:r>
      <w:r>
        <w:rPr>
          <w:rFonts w:hint="eastAsia" w:ascii="仿宋" w:hAnsi="仿宋" w:eastAsia="仿宋" w:cs="仿宋"/>
          <w:color w:val="000000"/>
          <w:sz w:val="30"/>
          <w:szCs w:val="30"/>
          <w:lang w:val="en-US" w:eastAsia="zh-CN"/>
        </w:rPr>
        <w:t>含事业工人</w:t>
      </w:r>
      <w:r>
        <w:rPr>
          <w:rFonts w:hint="default" w:ascii="仿宋" w:hAnsi="仿宋" w:eastAsia="仿宋" w:cs="仿宋"/>
          <w:color w:val="000000"/>
          <w:sz w:val="30"/>
          <w:szCs w:val="30"/>
          <w:lang w:val="en-US" w:eastAsia="zh-CN"/>
        </w:rPr>
        <w:t>1</w:t>
      </w:r>
      <w:r>
        <w:rPr>
          <w:rFonts w:hint="eastAsia" w:ascii="仿宋" w:hAnsi="仿宋" w:eastAsia="仿宋" w:cs="仿宋"/>
          <w:color w:val="000000"/>
          <w:sz w:val="30"/>
          <w:szCs w:val="30"/>
          <w:lang w:val="en-US" w:eastAsia="zh-CN"/>
        </w:rPr>
        <w:t>人</w:t>
      </w:r>
      <w:r>
        <w:rPr>
          <w:rFonts w:hint="eastAsia" w:ascii="仿宋" w:hAnsi="仿宋" w:eastAsia="仿宋" w:cs="仿宋"/>
          <w:color w:val="000000"/>
          <w:sz w:val="30"/>
          <w:szCs w:val="30"/>
          <w:lang w:eastAsia="zh-CN"/>
        </w:rPr>
        <w:t>）</w:t>
      </w:r>
      <w:r>
        <w:rPr>
          <w:rFonts w:hint="eastAsia" w:ascii="仿宋" w:hAnsi="仿宋" w:eastAsia="仿宋" w:cs="仿宋"/>
          <w:color w:val="000000"/>
          <w:sz w:val="30"/>
          <w:szCs w:val="30"/>
          <w:lang w:val="en-US" w:eastAsia="zh-CN"/>
        </w:rPr>
        <w:t>其中</w:t>
      </w:r>
      <w:r>
        <w:rPr>
          <w:rFonts w:hint="eastAsia" w:ascii="仿宋" w:hAnsi="仿宋" w:eastAsia="仿宋" w:cs="仿宋"/>
          <w:color w:val="000000"/>
          <w:sz w:val="30"/>
          <w:szCs w:val="30"/>
        </w:rPr>
        <w:t>在职人员13人</w:t>
      </w:r>
      <w:r>
        <w:rPr>
          <w:rFonts w:hint="eastAsia" w:ascii="仿宋" w:hAnsi="仿宋" w:eastAsia="仿宋" w:cs="仿宋"/>
          <w:color w:val="000000"/>
          <w:sz w:val="30"/>
          <w:szCs w:val="30"/>
          <w:lang w:eastAsia="zh-CN"/>
        </w:rPr>
        <w:t>。</w:t>
      </w:r>
      <w:r>
        <w:rPr>
          <w:rFonts w:hint="eastAsia" w:ascii="仿宋" w:hAnsi="仿宋" w:eastAsia="仿宋" w:cs="仿宋"/>
          <w:color w:val="000000"/>
          <w:sz w:val="30"/>
          <w:szCs w:val="30"/>
          <w:lang w:val="en-US" w:eastAsia="zh-CN"/>
        </w:rPr>
        <w:t>其中其他人员：公益性岗位</w:t>
      </w:r>
      <w:r>
        <w:rPr>
          <w:rFonts w:hint="default" w:ascii="仿宋" w:hAnsi="仿宋" w:eastAsia="仿宋" w:cs="仿宋"/>
          <w:color w:val="000000"/>
          <w:sz w:val="30"/>
          <w:szCs w:val="30"/>
          <w:lang w:val="en-US" w:eastAsia="zh-CN"/>
        </w:rPr>
        <w:t>4</w:t>
      </w:r>
      <w:r>
        <w:rPr>
          <w:rFonts w:hint="eastAsia" w:ascii="仿宋" w:hAnsi="仿宋" w:eastAsia="仿宋" w:cs="仿宋"/>
          <w:color w:val="000000"/>
          <w:sz w:val="30"/>
          <w:szCs w:val="30"/>
          <w:lang w:val="en-US" w:eastAsia="zh-CN"/>
        </w:rPr>
        <w:t>人。</w:t>
      </w:r>
      <w:r>
        <w:rPr>
          <w:rFonts w:hint="default" w:ascii="仿宋" w:hAnsi="仿宋" w:eastAsia="仿宋" w:cs="仿宋"/>
          <w:color w:val="000000"/>
          <w:sz w:val="30"/>
          <w:szCs w:val="30"/>
          <w:lang w:val="en-US" w:eastAsia="zh-CN"/>
        </w:rPr>
        <w:t xml:space="preserve"> </w:t>
      </w:r>
      <w:r>
        <w:rPr>
          <w:rFonts w:hint="eastAsia" w:ascii="仿宋" w:hAnsi="仿宋" w:eastAsia="仿宋" w:cs="Times New Roman"/>
          <w:b w:val="0"/>
          <w:bCs w:val="0"/>
          <w:color w:val="FFFFFF" w:themeColor="background1"/>
          <w:sz w:val="30"/>
          <w:szCs w:val="30"/>
        </w:rPr>
        <w:t>，其中：</w:t>
      </w:r>
      <w:r>
        <w:rPr>
          <w:rFonts w:hint="eastAsia" w:ascii="楷体_GB2312" w:hAnsi="仿宋" w:eastAsia="楷体_GB2312"/>
          <w:b/>
          <w:sz w:val="32"/>
          <w:szCs w:val="32"/>
        </w:rPr>
        <w:t>（二）当年取得的主要事业成效。</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2023年，类乌齐县</w:t>
      </w:r>
      <w:r>
        <w:rPr>
          <w:rFonts w:hint="eastAsia" w:ascii="仿宋" w:hAnsi="仿宋" w:eastAsia="仿宋" w:cs="仿宋"/>
          <w:sz w:val="32"/>
          <w:szCs w:val="32"/>
        </w:rPr>
        <w:t>县融媒体中心</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广播电视台</w:t>
      </w:r>
      <w:r>
        <w:rPr>
          <w:rFonts w:hint="eastAsia" w:ascii="仿宋" w:hAnsi="仿宋" w:eastAsia="仿宋" w:cs="仿宋"/>
          <w:sz w:val="32"/>
          <w:szCs w:val="32"/>
          <w:lang w:eastAsia="zh-CN"/>
        </w:rPr>
        <w:t>）</w:t>
      </w:r>
      <w:r>
        <w:rPr>
          <w:rFonts w:hint="eastAsia" w:ascii="仿宋" w:hAnsi="仿宋" w:eastAsia="仿宋" w:cs="仿宋"/>
          <w:sz w:val="32"/>
          <w:szCs w:val="32"/>
        </w:rPr>
        <w:t>在县委、县政府的坚强领导下，充分发挥各媒体间深度融合和聚合共振效应，不断提高了新闻信息生产、传播、服务能力，更好的发挥了舆论引导功能，趟出了一条县级传统媒体与新兴媒体融合发展的新路，积极探索传统媒体和新兴媒体融合的具体运用，有效推进了媒体深层次的融合，充分发挥各媒体间</w:t>
      </w:r>
      <w:bookmarkStart w:id="2" w:name="_GoBack"/>
      <w:bookmarkEnd w:id="2"/>
      <w:r>
        <w:rPr>
          <w:rFonts w:hint="eastAsia" w:ascii="仿宋" w:hAnsi="仿宋" w:eastAsia="仿宋" w:cs="仿宋"/>
          <w:sz w:val="32"/>
          <w:szCs w:val="32"/>
        </w:rPr>
        <w:t>深度融合和聚合共振效应，在实践中坚持融合、发展、管理并进，不断提高了新闻信息生产、传播、服务能力，更好的发挥了舆论引导功能，真正实现了一次性采集、多渠道发布、快速度传播、广覆盖受众格局。</w:t>
      </w:r>
    </w:p>
    <w:p>
      <w:pPr>
        <w:keepNext w:val="0"/>
        <w:keepLines w:val="0"/>
        <w:pageBreakBefore w:val="0"/>
        <w:widowControl/>
        <w:kinsoku/>
        <w:wordWrap/>
        <w:overflowPunct/>
        <w:topLinePunct w:val="0"/>
        <w:autoSpaceDE/>
        <w:autoSpaceDN/>
        <w:bidi w:val="0"/>
        <w:adjustRightInd/>
        <w:snapToGrid/>
        <w:spacing w:line="360" w:lineRule="auto"/>
        <w:ind w:firstLine="600" w:firstLineChars="200"/>
        <w:textAlignment w:val="auto"/>
        <w:rPr>
          <w:rFonts w:hint="default" w:ascii="宋体" w:hAnsi="宋体" w:eastAsia="宋体" w:cs="宋体"/>
          <w:b/>
          <w:bCs/>
          <w:sz w:val="32"/>
          <w:szCs w:val="32"/>
          <w:lang w:val="en-US"/>
        </w:rPr>
      </w:pPr>
      <w:r>
        <w:rPr>
          <w:rFonts w:hint="default" w:ascii="仿宋" w:hAnsi="仿宋" w:eastAsia="仿宋" w:cs="仿宋"/>
          <w:color w:val="000000"/>
          <w:sz w:val="30"/>
          <w:szCs w:val="30"/>
          <w:lang w:val="en-US" w:eastAsia="zh-CN"/>
        </w:rPr>
        <w:t xml:space="preserve"> </w:t>
      </w:r>
      <w:r>
        <w:rPr>
          <w:rFonts w:hint="eastAsia" w:ascii="宋体" w:hAnsi="宋体" w:eastAsia="宋体" w:cs="宋体"/>
          <w:b/>
          <w:bCs/>
          <w:sz w:val="32"/>
          <w:szCs w:val="32"/>
          <w:lang w:val="en-US" w:eastAsia="zh-CN"/>
        </w:rPr>
        <w:t>1.媒体矩阵建设情况</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自2022年建设类乌齐县融媒体中心以来，</w:t>
      </w:r>
      <w:r>
        <w:rPr>
          <w:rFonts w:hint="eastAsia" w:ascii="仿宋" w:hAnsi="仿宋" w:eastAsia="仿宋" w:cs="仿宋"/>
          <w:sz w:val="32"/>
          <w:szCs w:val="32"/>
        </w:rPr>
        <w:t>机构融合</w:t>
      </w:r>
      <w:r>
        <w:rPr>
          <w:rFonts w:hint="eastAsia" w:ascii="仿宋" w:hAnsi="仿宋" w:eastAsia="仿宋" w:cs="仿宋"/>
          <w:sz w:val="32"/>
          <w:szCs w:val="32"/>
          <w:lang w:val="en-US" w:eastAsia="zh-CN"/>
        </w:rPr>
        <w:t>到</w:t>
      </w:r>
      <w:r>
        <w:rPr>
          <w:rFonts w:hint="eastAsia" w:ascii="仿宋" w:hAnsi="仿宋" w:eastAsia="仿宋" w:cs="仿宋"/>
          <w:sz w:val="32"/>
          <w:szCs w:val="32"/>
        </w:rPr>
        <w:t>人员、技术、管理、运营融合联通的总体思路，全面启动了县级融媒体中心建设的</w:t>
      </w:r>
      <w:r>
        <w:rPr>
          <w:rFonts w:hint="eastAsia" w:ascii="仿宋" w:hAnsi="仿宋" w:eastAsia="仿宋" w:cs="仿宋"/>
          <w:sz w:val="32"/>
          <w:szCs w:val="32"/>
          <w:lang w:val="en-US" w:eastAsia="zh-CN"/>
        </w:rPr>
        <w:t>建设</w:t>
      </w:r>
      <w:r>
        <w:rPr>
          <w:rFonts w:hint="eastAsia" w:ascii="仿宋" w:hAnsi="仿宋" w:eastAsia="仿宋" w:cs="仿宋"/>
          <w:sz w:val="32"/>
          <w:szCs w:val="32"/>
        </w:rPr>
        <w:t>工作。</w:t>
      </w:r>
      <w:r>
        <w:rPr>
          <w:rFonts w:hint="eastAsia" w:ascii="仿宋" w:hAnsi="仿宋" w:eastAsia="仿宋" w:cs="仿宋"/>
          <w:sz w:val="32"/>
          <w:szCs w:val="32"/>
          <w:lang w:val="en-US" w:eastAsia="zh-CN"/>
        </w:rPr>
        <w:t>实现了新媒体</w:t>
      </w:r>
      <w:r>
        <w:rPr>
          <w:rFonts w:hint="eastAsia" w:ascii="仿宋" w:hAnsi="仿宋" w:eastAsia="仿宋" w:cs="仿宋"/>
          <w:sz w:val="32"/>
          <w:szCs w:val="32"/>
        </w:rPr>
        <w:t>生产、传输渠道、制播平台、接收终端实现广播电视台制播系统的高清化改造，建设完善</w:t>
      </w:r>
      <w:r>
        <w:rPr>
          <w:rFonts w:hint="eastAsia" w:ascii="仿宋" w:hAnsi="仿宋" w:eastAsia="仿宋" w:cs="仿宋"/>
          <w:sz w:val="32"/>
          <w:szCs w:val="32"/>
          <w:lang w:val="en-US" w:eastAsia="zh-CN"/>
        </w:rPr>
        <w:t>媒体指挥中心</w:t>
      </w:r>
      <w:r>
        <w:rPr>
          <w:rFonts w:hint="eastAsia" w:ascii="仿宋" w:hAnsi="仿宋" w:eastAsia="仿宋" w:cs="仿宋"/>
          <w:sz w:val="32"/>
          <w:szCs w:val="32"/>
        </w:rPr>
        <w:t>、播出、演播室、</w:t>
      </w:r>
      <w:r>
        <w:rPr>
          <w:rFonts w:hint="eastAsia" w:ascii="仿宋" w:hAnsi="仿宋" w:eastAsia="仿宋" w:cs="仿宋"/>
          <w:sz w:val="32"/>
          <w:szCs w:val="32"/>
          <w:lang w:eastAsia="zh-CN"/>
        </w:rPr>
        <w:t>录音室、</w:t>
      </w:r>
      <w:r>
        <w:rPr>
          <w:rFonts w:hint="eastAsia" w:ascii="仿宋" w:hAnsi="仿宋" w:eastAsia="仿宋" w:cs="仿宋"/>
          <w:sz w:val="32"/>
          <w:szCs w:val="32"/>
        </w:rPr>
        <w:t>非编制作网等广播电视“采、编、播、存、传”</w:t>
      </w:r>
      <w:r>
        <w:rPr>
          <w:rFonts w:hint="eastAsia" w:ascii="仿宋" w:hAnsi="仿宋" w:eastAsia="仿宋" w:cs="仿宋"/>
          <w:sz w:val="32"/>
          <w:szCs w:val="32"/>
          <w:lang w:eastAsia="zh-CN"/>
        </w:rPr>
        <w:t>，</w:t>
      </w:r>
      <w:r>
        <w:rPr>
          <w:rFonts w:hint="eastAsia" w:ascii="仿宋" w:hAnsi="仿宋" w:eastAsia="仿宋" w:cs="仿宋"/>
          <w:sz w:val="32"/>
          <w:szCs w:val="32"/>
        </w:rPr>
        <w:t>具备集中指挥、采编调度、高效协调、信息沟通等功能，实现了“一次采集、多种生成”</w:t>
      </w:r>
      <w:r>
        <w:rPr>
          <w:rFonts w:hint="eastAsia" w:ascii="仿宋" w:hAnsi="仿宋" w:eastAsia="仿宋" w:cs="仿宋"/>
          <w:sz w:val="32"/>
          <w:szCs w:val="32"/>
          <w:lang w:eastAsia="zh-CN"/>
        </w:rPr>
        <w:t>全面</w:t>
      </w:r>
      <w:r>
        <w:rPr>
          <w:rFonts w:hint="eastAsia" w:ascii="仿宋" w:hAnsi="仿宋" w:eastAsia="仿宋" w:cs="仿宋"/>
          <w:sz w:val="32"/>
          <w:szCs w:val="32"/>
        </w:rPr>
        <w:t>系统</w:t>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autoSpaceDN/>
        <w:bidi w:val="0"/>
        <w:adjustRightInd/>
        <w:snapToGrid/>
        <w:spacing w:line="360" w:lineRule="auto"/>
        <w:ind w:firstLine="643" w:firstLineChars="200"/>
        <w:textAlignment w:val="auto"/>
        <w:rPr>
          <w:rFonts w:hint="default" w:ascii="宋体" w:hAnsi="宋体" w:eastAsia="宋体" w:cs="宋体"/>
          <w:b/>
          <w:bCs/>
          <w:sz w:val="32"/>
          <w:szCs w:val="32"/>
          <w:lang w:val="en-US" w:eastAsia="zh-CN"/>
        </w:rPr>
      </w:pPr>
      <w:r>
        <w:rPr>
          <w:rFonts w:hint="eastAsia" w:ascii="宋体" w:hAnsi="宋体" w:eastAsia="宋体" w:cs="宋体"/>
          <w:b/>
          <w:bCs/>
          <w:sz w:val="32"/>
          <w:szCs w:val="32"/>
          <w:lang w:val="en-US" w:eastAsia="zh-CN"/>
        </w:rPr>
        <w:t>2.</w:t>
      </w:r>
      <w:r>
        <w:rPr>
          <w:rFonts w:hint="eastAsia" w:ascii="宋体" w:hAnsi="宋体" w:eastAsia="宋体" w:cs="宋体"/>
          <w:b/>
          <w:bCs/>
          <w:sz w:val="32"/>
          <w:szCs w:val="32"/>
          <w:lang w:eastAsia="zh-CN"/>
        </w:rPr>
        <w:t>（</w:t>
      </w:r>
      <w:r>
        <w:rPr>
          <w:rFonts w:hint="eastAsia" w:ascii="宋体" w:hAnsi="宋体" w:eastAsia="宋体" w:cs="宋体"/>
          <w:b/>
          <w:bCs/>
          <w:sz w:val="32"/>
          <w:szCs w:val="32"/>
          <w:lang w:val="en-US" w:eastAsia="zh-CN"/>
        </w:rPr>
        <w:t>二</w:t>
      </w:r>
      <w:r>
        <w:rPr>
          <w:rFonts w:hint="eastAsia" w:ascii="宋体" w:hAnsi="宋体" w:eastAsia="宋体" w:cs="宋体"/>
          <w:b/>
          <w:bCs/>
          <w:sz w:val="32"/>
          <w:szCs w:val="32"/>
          <w:lang w:eastAsia="zh-CN"/>
        </w:rPr>
        <w:t>）</w:t>
      </w:r>
      <w:r>
        <w:rPr>
          <w:rFonts w:hint="eastAsia" w:ascii="宋体" w:hAnsi="宋体" w:eastAsia="宋体" w:cs="宋体"/>
          <w:b/>
          <w:bCs/>
          <w:sz w:val="32"/>
          <w:szCs w:val="32"/>
          <w:lang w:val="en-US" w:eastAsia="zh-CN"/>
        </w:rPr>
        <w:t>工作开展情况</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年度紧紧围绕县委</w:t>
      </w:r>
      <w:r>
        <w:rPr>
          <w:rFonts w:hint="eastAsia" w:ascii="仿宋" w:hAnsi="仿宋" w:eastAsia="仿宋" w:cs="仿宋"/>
          <w:sz w:val="32"/>
          <w:szCs w:val="32"/>
          <w:lang w:eastAsia="zh-CN"/>
        </w:rPr>
        <w:t>、</w:t>
      </w:r>
      <w:r>
        <w:rPr>
          <w:rFonts w:hint="eastAsia" w:ascii="仿宋" w:hAnsi="仿宋" w:eastAsia="仿宋" w:cs="仿宋"/>
          <w:sz w:val="32"/>
          <w:szCs w:val="32"/>
        </w:rPr>
        <w:t>政府各时期的中心工作，结合不同时期工作重点，</w:t>
      </w:r>
      <w:r>
        <w:rPr>
          <w:rFonts w:hint="eastAsia" w:ascii="仿宋" w:hAnsi="仿宋" w:eastAsia="仿宋" w:cs="仿宋"/>
          <w:sz w:val="32"/>
          <w:szCs w:val="32"/>
          <w:lang w:val="en-US" w:eastAsia="zh-CN"/>
        </w:rPr>
        <w:t>融媒体中心全方位统筹协调作战，对学习</w:t>
      </w:r>
      <w:r>
        <w:rPr>
          <w:rFonts w:hint="eastAsia" w:ascii="仿宋" w:hAnsi="仿宋" w:eastAsia="仿宋" w:cs="仿宋"/>
          <w:sz w:val="32"/>
          <w:szCs w:val="32"/>
        </w:rPr>
        <w:t>党的二十大</w:t>
      </w:r>
      <w:r>
        <w:rPr>
          <w:rFonts w:hint="eastAsia" w:ascii="仿宋" w:hAnsi="仿宋" w:eastAsia="仿宋" w:cs="仿宋"/>
          <w:sz w:val="32"/>
          <w:szCs w:val="32"/>
          <w:lang w:eastAsia="zh-CN"/>
        </w:rPr>
        <w:t>，党的十九大，十九届历次全会以及自治区第十次党代会精神</w:t>
      </w:r>
      <w:r>
        <w:rPr>
          <w:rFonts w:hint="eastAsia" w:ascii="仿宋" w:hAnsi="仿宋" w:eastAsia="仿宋" w:cs="仿宋"/>
          <w:sz w:val="32"/>
          <w:szCs w:val="32"/>
        </w:rPr>
        <w:t>及</w:t>
      </w:r>
      <w:r>
        <w:rPr>
          <w:rFonts w:hint="eastAsia" w:ascii="仿宋" w:hAnsi="仿宋" w:eastAsia="仿宋" w:cs="仿宋"/>
          <w:sz w:val="32"/>
          <w:szCs w:val="32"/>
          <w:lang w:val="en-US" w:eastAsia="zh-CN"/>
        </w:rPr>
        <w:t>策划“四件大事”“四个创建”“四个走在前列”“五位一体”“改进作风狠抓落实”“农牧民增收”“铸牢中华民族共同体意识”引导宣传、党建、改进作风 狠抓落实、</w:t>
      </w:r>
      <w:r>
        <w:rPr>
          <w:rFonts w:hint="eastAsia" w:ascii="仿宋" w:hAnsi="仿宋" w:eastAsia="仿宋" w:cs="仿宋"/>
          <w:sz w:val="32"/>
          <w:szCs w:val="32"/>
        </w:rPr>
        <w:t>招商引资、乡村振兴、生态文明、</w:t>
      </w:r>
      <w:r>
        <w:rPr>
          <w:rFonts w:hint="eastAsia" w:ascii="仿宋" w:hAnsi="仿宋" w:eastAsia="仿宋" w:cs="仿宋"/>
          <w:sz w:val="32"/>
          <w:szCs w:val="32"/>
          <w:lang w:val="en-US" w:eastAsia="zh-CN"/>
        </w:rPr>
        <w:t>社会发展、</w:t>
      </w:r>
      <w:r>
        <w:rPr>
          <w:rFonts w:hint="eastAsia" w:ascii="仿宋" w:hAnsi="仿宋" w:eastAsia="仿宋" w:cs="仿宋"/>
          <w:sz w:val="32"/>
          <w:szCs w:val="32"/>
        </w:rPr>
        <w:t>新时代文明实践等</w:t>
      </w:r>
      <w:r>
        <w:rPr>
          <w:rFonts w:hint="eastAsia" w:ascii="仿宋" w:hAnsi="仿宋" w:eastAsia="仿宋" w:cs="仿宋"/>
          <w:sz w:val="32"/>
          <w:szCs w:val="32"/>
          <w:lang w:val="en-US" w:eastAsia="zh-CN"/>
        </w:rPr>
        <w:t>进行</w:t>
      </w:r>
      <w:r>
        <w:rPr>
          <w:rFonts w:hint="eastAsia" w:ascii="仿宋" w:hAnsi="仿宋" w:eastAsia="仿宋" w:cs="仿宋"/>
          <w:sz w:val="32"/>
          <w:szCs w:val="32"/>
        </w:rPr>
        <w:t>宣传报道。</w:t>
      </w:r>
      <w:r>
        <w:rPr>
          <w:rFonts w:hint="eastAsia" w:ascii="仿宋" w:hAnsi="仿宋" w:eastAsia="仿宋" w:cs="仿宋"/>
          <w:sz w:val="32"/>
          <w:szCs w:val="32"/>
          <w:lang w:val="en-US" w:eastAsia="zh-CN"/>
        </w:rPr>
        <w:t>截至目前，类乌齐县融媒体中心（广播电视台）2023年制作732条新闻，其中央视采纳10条、自治区主流媒体全年采纳33条，昌都市媒体全年采纳132条，学习强国平台全年采纳78条，抖音公众号发布短视频602条、微信公众号发布信息1423条、珠峰云APP发布296条。2023全年每天播出3条公益广告，一天播三次（首播、重播、次播），一年共播出公益广告1080条，播出次数达3160次，全年全县</w:t>
      </w:r>
      <w:r>
        <w:rPr>
          <w:rFonts w:hint="eastAsia" w:ascii="仿宋" w:hAnsi="仿宋" w:eastAsia="仿宋" w:cs="仿宋"/>
          <w:sz w:val="32"/>
          <w:szCs w:val="32"/>
        </w:rPr>
        <w:t>无安全</w:t>
      </w:r>
      <w:r>
        <w:rPr>
          <w:rFonts w:hint="eastAsia" w:ascii="仿宋" w:hAnsi="仿宋" w:eastAsia="仿宋" w:cs="仿宋"/>
          <w:sz w:val="32"/>
          <w:szCs w:val="32"/>
          <w:lang w:val="en-US" w:eastAsia="zh-CN"/>
        </w:rPr>
        <w:t>播出</w:t>
      </w:r>
      <w:r>
        <w:rPr>
          <w:rFonts w:hint="eastAsia" w:ascii="仿宋" w:hAnsi="仿宋" w:eastAsia="仿宋" w:cs="仿宋"/>
          <w:sz w:val="32"/>
          <w:szCs w:val="32"/>
        </w:rPr>
        <w:t>事故。</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2.2023年，充分利用市级下达的每年“户户通”卫星广播电视专项资金，加强督导管理，专款专用，通过“八戒网”平台询比价格，质量、资质方式采购卫星直播广播电视“户户通”新一代设备。2023年</w:t>
      </w:r>
      <w:r>
        <w:rPr>
          <w:rFonts w:hint="eastAsia" w:ascii="仿宋" w:hAnsi="仿宋" w:eastAsia="仿宋" w:cs="仿宋"/>
          <w:sz w:val="32"/>
          <w:szCs w:val="32"/>
        </w:rPr>
        <w:t>全县</w:t>
      </w:r>
      <w:r>
        <w:rPr>
          <w:rFonts w:hint="eastAsia" w:ascii="仿宋" w:hAnsi="仿宋" w:eastAsia="仿宋" w:cs="仿宋"/>
          <w:sz w:val="32"/>
          <w:szCs w:val="32"/>
          <w:lang w:val="en-US" w:eastAsia="zh-CN"/>
        </w:rPr>
        <w:t>发放1300套卫星直播广播电视台“户户通”设备。截至目前，解决了全县3327户全部更换更新新一代“户户通”直播卫星设备。目前广大群众通过</w:t>
      </w:r>
      <w:r>
        <w:rPr>
          <w:rFonts w:hint="eastAsia" w:ascii="仿宋" w:hAnsi="仿宋" w:eastAsia="仿宋" w:cs="仿宋"/>
          <w:sz w:val="32"/>
          <w:szCs w:val="32"/>
        </w:rPr>
        <w:t>“</w:t>
      </w:r>
      <w:r>
        <w:rPr>
          <w:rFonts w:hint="eastAsia" w:ascii="仿宋" w:hAnsi="仿宋" w:eastAsia="仿宋" w:cs="仿宋"/>
          <w:sz w:val="32"/>
          <w:szCs w:val="32"/>
          <w:lang w:val="en-US" w:eastAsia="zh-CN"/>
        </w:rPr>
        <w:t>户户通</w:t>
      </w:r>
      <w:r>
        <w:rPr>
          <w:rFonts w:hint="eastAsia" w:ascii="仿宋" w:hAnsi="仿宋" w:eastAsia="仿宋" w:cs="仿宋"/>
          <w:sz w:val="32"/>
          <w:szCs w:val="32"/>
        </w:rPr>
        <w:t>”</w:t>
      </w:r>
      <w:r>
        <w:rPr>
          <w:rFonts w:hint="eastAsia" w:ascii="仿宋" w:hAnsi="仿宋" w:eastAsia="仿宋" w:cs="仿宋"/>
          <w:sz w:val="32"/>
          <w:szCs w:val="32"/>
          <w:lang w:val="en-US" w:eastAsia="zh-CN"/>
        </w:rPr>
        <w:t>设备，可以观看电视新节目，确保了“户户通”新一代覆盖工程落到实处，取得实效。利用专项资金，专款专用，持续推进“户户通”项目，力争到2025年“户户通”基本实现全覆盖目标。保质保量加快推进直播卫星广播电视设备“户户通”项目指标持续提高项目建设，实现基本收听收看公共服务体系更加完善、基础公共设施安全更有保障、基础设施更加健全、人民生活质量显著改善、社会文明程度普遍提高、人民幸福指数持续提升的目标。</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宋体" w:hAnsi="宋体" w:eastAsia="宋体" w:cs="宋体"/>
          <w:b/>
          <w:bCs/>
          <w:sz w:val="32"/>
          <w:szCs w:val="32"/>
          <w:lang w:val="en-US" w:eastAsia="zh-CN"/>
        </w:rPr>
      </w:pPr>
      <w:r>
        <w:rPr>
          <w:rFonts w:hint="eastAsia" w:ascii="仿宋" w:hAnsi="仿宋" w:eastAsia="仿宋" w:cs="仿宋"/>
          <w:sz w:val="32"/>
          <w:szCs w:val="32"/>
          <w:lang w:val="en-US" w:eastAsia="zh-CN"/>
        </w:rPr>
        <w:t>3.</w:t>
      </w:r>
      <w:r>
        <w:rPr>
          <w:rFonts w:hint="eastAsia" w:ascii="宋体" w:hAnsi="宋体" w:eastAsia="宋体" w:cs="宋体"/>
          <w:b/>
          <w:bCs/>
          <w:sz w:val="32"/>
          <w:szCs w:val="32"/>
          <w:lang w:val="en-US" w:eastAsia="zh-CN"/>
        </w:rPr>
        <w:t>记者队伍建设情况</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000000"/>
          <w:sz w:val="32"/>
          <w:szCs w:val="32"/>
          <w:shd w:val="clear" w:color="auto" w:fill="FFFFFF"/>
        </w:rPr>
      </w:pPr>
      <w:r>
        <w:rPr>
          <w:rFonts w:hint="eastAsia" w:ascii="仿宋" w:hAnsi="仿宋" w:eastAsia="仿宋" w:cs="仿宋"/>
          <w:color w:val="000000"/>
          <w:kern w:val="10"/>
          <w:sz w:val="32"/>
          <w:szCs w:val="32"/>
        </w:rPr>
        <w:t>从改革之初起</w:t>
      </w:r>
      <w:r>
        <w:rPr>
          <w:rFonts w:hint="eastAsia" w:ascii="仿宋" w:hAnsi="仿宋" w:eastAsia="仿宋" w:cs="仿宋"/>
          <w:color w:val="000000"/>
          <w:kern w:val="10"/>
          <w:sz w:val="32"/>
          <w:szCs w:val="32"/>
          <w:lang w:val="en-US" w:eastAsia="zh-CN"/>
        </w:rPr>
        <w:t>到目前，</w:t>
      </w:r>
      <w:r>
        <w:rPr>
          <w:rFonts w:hint="eastAsia" w:ascii="仿宋" w:hAnsi="仿宋" w:eastAsia="仿宋" w:cs="仿宋"/>
          <w:color w:val="000000"/>
          <w:kern w:val="10"/>
          <w:sz w:val="32"/>
          <w:szCs w:val="32"/>
        </w:rPr>
        <w:t>加速人员转型融合，打造复合型人才，融媒体中心通过培训和外派跟班锻炼等手段，开阔了员工视野，更新了观念，提升了技能。</w:t>
      </w:r>
      <w:r>
        <w:rPr>
          <w:rFonts w:hint="eastAsia" w:ascii="仿宋" w:hAnsi="仿宋" w:eastAsia="仿宋" w:cs="仿宋"/>
          <w:color w:val="000000"/>
          <w:kern w:val="10"/>
          <w:sz w:val="32"/>
          <w:szCs w:val="32"/>
          <w:lang w:val="en-US" w:eastAsia="zh-CN"/>
        </w:rPr>
        <w:t>目前“</w:t>
      </w:r>
      <w:r>
        <w:rPr>
          <w:rFonts w:hint="eastAsia" w:ascii="仿宋" w:hAnsi="仿宋" w:eastAsia="仿宋" w:cs="仿宋"/>
          <w:sz w:val="32"/>
          <w:szCs w:val="32"/>
        </w:rPr>
        <w:t>采、编、播</w:t>
      </w:r>
      <w:r>
        <w:rPr>
          <w:rFonts w:hint="eastAsia" w:ascii="仿宋" w:hAnsi="仿宋" w:eastAsia="仿宋" w:cs="仿宋"/>
          <w:color w:val="000000"/>
          <w:kern w:val="10"/>
          <w:sz w:val="32"/>
          <w:szCs w:val="32"/>
          <w:lang w:val="en-US" w:eastAsia="zh-CN"/>
        </w:rPr>
        <w:t>”单兵作战模式发展人才有4人。</w:t>
      </w:r>
      <w:r>
        <w:rPr>
          <w:rFonts w:hint="eastAsia" w:ascii="仿宋" w:hAnsi="仿宋" w:eastAsia="仿宋" w:cs="仿宋"/>
          <w:color w:val="000000"/>
          <w:kern w:val="10"/>
          <w:sz w:val="32"/>
          <w:szCs w:val="32"/>
        </w:rPr>
        <w:t>致力于培养造就政治过硬、本领过硬的</w:t>
      </w:r>
      <w:r>
        <w:rPr>
          <w:rFonts w:hint="eastAsia" w:ascii="仿宋" w:hAnsi="仿宋" w:eastAsia="仿宋" w:cs="仿宋"/>
          <w:bCs/>
          <w:color w:val="000000"/>
          <w:kern w:val="10"/>
          <w:sz w:val="32"/>
          <w:szCs w:val="32"/>
        </w:rPr>
        <w:t>全媒体人才队伍</w:t>
      </w:r>
      <w:r>
        <w:rPr>
          <w:rFonts w:hint="eastAsia" w:ascii="仿宋" w:hAnsi="仿宋" w:eastAsia="仿宋" w:cs="仿宋"/>
          <w:bCs/>
          <w:color w:val="000000"/>
          <w:kern w:val="10"/>
          <w:sz w:val="32"/>
          <w:szCs w:val="32"/>
          <w:lang w:eastAsia="zh-CN"/>
        </w:rPr>
        <w:t>。</w:t>
      </w:r>
      <w:r>
        <w:rPr>
          <w:rFonts w:hint="eastAsia" w:ascii="仿宋" w:hAnsi="仿宋" w:eastAsia="仿宋" w:cs="仿宋"/>
          <w:color w:val="000000"/>
          <w:sz w:val="32"/>
          <w:szCs w:val="32"/>
          <w:lang w:val="en-US" w:eastAsia="zh-CN"/>
        </w:rPr>
        <w:t>通过利用市级专项资金，针对媒体设备全面进行升级更新，引进新媒体的设备。以技术支撑+依托高科技设备，从手段单一发展到多种手段，</w:t>
      </w:r>
      <w:r>
        <w:rPr>
          <w:rFonts w:hint="eastAsia" w:ascii="仿宋" w:hAnsi="仿宋" w:eastAsia="仿宋" w:cs="仿宋"/>
          <w:color w:val="000000"/>
          <w:sz w:val="32"/>
          <w:szCs w:val="32"/>
        </w:rPr>
        <w:t>坚持“因地制宜融合，转型升级发展，裂变效应凸显”的建设思路，重构县级媒体建设与运行机制，探索出一条县级传统媒体与新媒体融合发展的新路子</w:t>
      </w:r>
      <w:r>
        <w:rPr>
          <w:rFonts w:hint="eastAsia" w:ascii="仿宋" w:hAnsi="仿宋" w:eastAsia="仿宋" w:cs="仿宋"/>
          <w:color w:val="000000"/>
          <w:sz w:val="32"/>
          <w:szCs w:val="32"/>
          <w:shd w:val="clear" w:color="auto" w:fill="FFFFFF"/>
        </w:rPr>
        <w:t>，在提高新闻舆论传播力、引导力、影响力、公信力方面取得实实在在的效果。</w:t>
      </w:r>
    </w:p>
    <w:p>
      <w:pPr>
        <w:spacing w:line="560" w:lineRule="exact"/>
        <w:ind w:firstLine="600" w:firstLineChars="200"/>
        <w:rPr>
          <w:rFonts w:hint="default" w:ascii="仿宋" w:hAnsi="仿宋" w:eastAsia="仿宋" w:cs="仿宋"/>
          <w:color w:val="000000"/>
          <w:sz w:val="30"/>
          <w:szCs w:val="30"/>
          <w:lang w:val="en-US" w:eastAsia="zh-CN"/>
        </w:rPr>
      </w:pPr>
      <w:r>
        <w:rPr>
          <w:rFonts w:hint="default" w:ascii="仿宋" w:hAnsi="仿宋" w:eastAsia="仿宋" w:cs="仿宋"/>
          <w:color w:val="000000"/>
          <w:sz w:val="30"/>
          <w:szCs w:val="30"/>
          <w:lang w:val="en-US" w:eastAsia="zh-CN"/>
        </w:rPr>
        <w:t xml:space="preserve">                                                                                                           </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000000"/>
          <w:sz w:val="32"/>
          <w:szCs w:val="32"/>
          <w:shd w:val="clear" w:color="auto" w:fill="FFFFFF"/>
        </w:rPr>
      </w:pPr>
    </w:p>
    <w:p>
      <w:pPr>
        <w:snapToGrid w:val="0"/>
        <w:spacing w:line="520" w:lineRule="exact"/>
        <w:ind w:firstLine="640" w:firstLineChars="200"/>
        <w:rPr>
          <w:rFonts w:ascii="黑体" w:hAnsi="黑体" w:eastAsia="黑体"/>
          <w:sz w:val="32"/>
          <w:szCs w:val="32"/>
        </w:rPr>
      </w:pPr>
      <w:bookmarkStart w:id="1" w:name="YS060102"/>
      <w:r>
        <w:rPr>
          <w:rFonts w:hint="eastAsia" w:ascii="黑体" w:hAnsi="黑体" w:eastAsia="黑体"/>
          <w:sz w:val="32"/>
          <w:szCs w:val="32"/>
        </w:rPr>
        <w:t>二、收入支出预算执行情况分析</w:t>
      </w:r>
    </w:p>
    <w:bookmarkEnd w:id="1"/>
    <w:p>
      <w:pPr>
        <w:snapToGrid w:val="0"/>
        <w:spacing w:line="520" w:lineRule="exact"/>
        <w:ind w:firstLine="0" w:firstLineChars="0"/>
        <w:outlineLvl w:val="0"/>
        <w:rPr>
          <w:rFonts w:hint="eastAsia" w:ascii="楷体_GB2312" w:hAnsi="仿宋" w:eastAsia="楷体_GB2312"/>
          <w:b/>
          <w:sz w:val="32"/>
          <w:szCs w:val="32"/>
        </w:rPr>
      </w:pPr>
      <w:r>
        <w:rPr>
          <w:rFonts w:hint="eastAsia" w:ascii="楷体_GB2312" w:hAnsi="仿宋" w:eastAsia="楷体_GB2312"/>
          <w:b/>
          <w:sz w:val="32"/>
          <w:szCs w:val="32"/>
        </w:rPr>
        <w:t>（一）收入支出预算安排情况。</w:t>
      </w:r>
    </w:p>
    <w:p>
      <w:pPr>
        <w:snapToGrid w:val="0"/>
        <w:spacing w:line="520" w:lineRule="exact"/>
        <w:ind w:firstLine="0" w:firstLineChars="0"/>
        <w:outlineLvl w:val="0"/>
        <w:rPr>
          <w:rFonts w:hint="eastAsia" w:ascii="楷体_GB2312" w:hAnsi="仿宋" w:eastAsia="楷体_GB2312"/>
          <w:b/>
          <w:sz w:val="32"/>
          <w:szCs w:val="32"/>
        </w:rPr>
      </w:pPr>
      <w:r>
        <w:rPr>
          <w:rFonts w:hint="eastAsia" w:ascii="楷体_GB2312" w:hAnsi="仿宋" w:eastAsia="楷体_GB2312"/>
          <w:b/>
          <w:sz w:val="32"/>
          <w:szCs w:val="32"/>
        </w:rPr>
        <w:pict>
          <v:shape id="_x0000_s1026" o:spid="_x0000_s1026" o:spt="75" type="#_x0000_t75" style="position:absolute;left:0pt;margin-left:7.8pt;margin-top:18.95pt;height:111.55pt;width:364.45pt;mso-wrap-distance-bottom:0pt;mso-wrap-distance-left:9pt;mso-wrap-distance-right:9pt;mso-wrap-distance-top:0pt;z-index:251659264;mso-width-relative:page;mso-height-relative:page;" o:ole="t" filled="f" o:preferrelative="t" stroked="f" coordsize="21600,21600">
            <v:path/>
            <v:fill on="f" focussize="0,0"/>
            <v:stroke on="f"/>
            <v:imagedata r:id="rId8" o:title=""/>
            <o:lock v:ext="edit" aspectratio="t"/>
            <w10:wrap type="square"/>
          </v:shape>
          <o:OLEObject Type="Embed" ProgID="Excel.Chart.8" ShapeID="_x0000_s1026" DrawAspect="Content" ObjectID="_1468075725" r:id="rId7">
            <o:LockedField>false</o:LockedField>
          </o:OLEObject>
        </w:pict>
      </w:r>
    </w:p>
    <w:p>
      <w:pPr>
        <w:snapToGrid w:val="0"/>
        <w:spacing w:line="520" w:lineRule="exact"/>
        <w:ind w:firstLine="0" w:firstLineChars="0"/>
        <w:outlineLvl w:val="0"/>
        <w:rPr>
          <w:rFonts w:hint="eastAsia" w:ascii="楷体_GB2312" w:hAnsi="仿宋" w:eastAsia="楷体_GB2312"/>
          <w:b/>
          <w:sz w:val="32"/>
          <w:szCs w:val="32"/>
        </w:rPr>
      </w:pPr>
    </w:p>
    <w:p>
      <w:pPr>
        <w:snapToGrid w:val="0"/>
        <w:spacing w:line="520" w:lineRule="exact"/>
        <w:ind w:firstLine="0" w:firstLineChars="0"/>
        <w:outlineLvl w:val="0"/>
        <w:rPr>
          <w:rFonts w:hint="eastAsia" w:ascii="楷体_GB2312" w:hAnsi="仿宋" w:eastAsia="楷体_GB2312"/>
          <w:b/>
          <w:sz w:val="32"/>
          <w:szCs w:val="32"/>
        </w:rPr>
      </w:pPr>
    </w:p>
    <w:p>
      <w:pPr>
        <w:snapToGrid w:val="0"/>
        <w:spacing w:line="520" w:lineRule="exact"/>
        <w:ind w:firstLine="0" w:firstLineChars="0"/>
        <w:outlineLvl w:val="0"/>
        <w:rPr>
          <w:rFonts w:hint="eastAsia" w:ascii="楷体_GB2312" w:hAnsi="仿宋" w:eastAsia="楷体_GB2312"/>
          <w:b/>
          <w:sz w:val="32"/>
          <w:szCs w:val="32"/>
        </w:rPr>
      </w:pPr>
    </w:p>
    <w:p>
      <w:pPr>
        <w:snapToGrid w:val="0"/>
        <w:spacing w:line="520" w:lineRule="exact"/>
        <w:ind w:firstLine="643" w:firstLineChars="200"/>
        <w:rPr>
          <w:rFonts w:ascii="仿宋_GB2312" w:hAnsi="仿宋" w:eastAsia="仿宋_GB2312"/>
          <w:sz w:val="32"/>
          <w:szCs w:val="32"/>
        </w:rPr>
      </w:pPr>
      <w:r>
        <w:rPr>
          <w:rFonts w:hint="eastAsia" w:ascii="楷体_GB2312" w:hAnsi="仿宋" w:eastAsia="楷体_GB2312"/>
          <w:b/>
          <w:sz w:val="32"/>
          <w:szCs w:val="32"/>
        </w:rPr>
        <w:t>（二）收入支出预算执行情况。</w:t>
      </w:r>
      <w:r>
        <w:rPr>
          <w:rFonts w:hint="eastAsia" w:ascii="仿宋_GB2312" w:hAnsi="仿宋" w:eastAsia="仿宋_GB2312"/>
          <w:sz w:val="32"/>
          <w:szCs w:val="32"/>
        </w:rPr>
        <w:t>当年收入支出预算执行基本情况，与上年度对比情况，包括增减绝对值与幅度，增减变动主要原因(可用柱形图或折线图)。</w:t>
      </w:r>
    </w:p>
    <w:p>
      <w:pPr>
        <w:snapToGrid w:val="0"/>
        <w:spacing w:line="520" w:lineRule="exact"/>
        <w:ind w:firstLine="643" w:firstLineChars="200"/>
        <w:outlineLvl w:val="0"/>
        <w:rPr>
          <w:rFonts w:hint="eastAsia" w:ascii="仿宋_GB2312" w:hAnsi="仿宋" w:eastAsia="仿宋_GB2312"/>
          <w:b/>
          <w:sz w:val="32"/>
          <w:szCs w:val="32"/>
        </w:rPr>
      </w:pPr>
    </w:p>
    <w:p>
      <w:pPr>
        <w:snapToGrid w:val="0"/>
        <w:spacing w:line="520" w:lineRule="exact"/>
        <w:ind w:firstLine="643" w:firstLineChars="200"/>
        <w:rPr>
          <w:rFonts w:ascii="仿宋_GB2312" w:hAnsi="仿宋" w:eastAsia="仿宋_GB2312"/>
          <w:sz w:val="32"/>
          <w:szCs w:val="32"/>
        </w:rPr>
      </w:pPr>
      <w:r>
        <w:rPr>
          <w:rFonts w:hint="eastAsia" w:ascii="仿宋_GB2312" w:hAnsi="仿宋" w:eastAsia="仿宋_GB2312"/>
          <w:b/>
          <w:sz w:val="32"/>
          <w:szCs w:val="32"/>
        </w:rPr>
        <w:t>1．收入支出与预算对比分析</w:t>
      </w:r>
    </w:p>
    <w:p>
      <w:pPr>
        <w:snapToGrid w:val="0"/>
        <w:spacing w:line="520" w:lineRule="exact"/>
        <w:ind w:firstLine="643" w:firstLineChars="200"/>
        <w:rPr>
          <w:rFonts w:ascii="仿宋_GB2312" w:hAnsi="仿宋" w:eastAsia="仿宋_GB2312"/>
          <w:sz w:val="32"/>
          <w:szCs w:val="32"/>
        </w:rPr>
      </w:pPr>
      <w:r>
        <w:rPr>
          <w:rFonts w:hint="eastAsia" w:ascii="仿宋_GB2312" w:hAnsi="仿宋" w:eastAsia="仿宋_GB2312"/>
          <w:b/>
          <w:sz w:val="32"/>
          <w:szCs w:val="32"/>
          <w:lang w:eastAsia="zh-CN"/>
        </w:rPr>
        <w:pict>
          <v:shape id="Object 3" o:spid="_x0000_s1027" o:spt="75" type="#_x0000_t75" style="position:absolute;left:0pt;margin-left:22.95pt;margin-top:39.4pt;height:118.05pt;width:379.05pt;mso-wrap-distance-bottom:0pt;mso-wrap-distance-top:0pt;z-index:251660288;mso-width-relative:page;mso-height-relative:page;" o:ole="t" filled="f" o:preferrelative="t" stroked="f" coordsize="21600,21600">
            <v:path/>
            <v:fill on="f" focussize="0,0"/>
            <v:stroke on="f"/>
            <v:imagedata r:id="rId10" o:title=""/>
            <o:lock v:ext="edit" aspectratio="t"/>
            <w10:wrap type="topAndBottom"/>
          </v:shape>
          <o:OLEObject Type="Embed" ProgID="Excel.Chart.8" ShapeID="Object 3" DrawAspect="Content" ObjectID="_1468075726" r:id="rId9">
            <o:LockedField>false</o:LockedField>
          </o:OLEObject>
        </w:pict>
      </w:r>
    </w:p>
    <w:p>
      <w:pPr>
        <w:snapToGrid w:val="0"/>
        <w:spacing w:line="520" w:lineRule="exact"/>
        <w:ind w:firstLine="0" w:firstLineChars="0"/>
        <w:rPr>
          <w:rFonts w:ascii="仿宋_GB2312" w:hAnsi="仿宋" w:eastAsia="仿宋_GB2312"/>
          <w:sz w:val="32"/>
          <w:szCs w:val="32"/>
        </w:rPr>
      </w:pPr>
    </w:p>
    <w:p>
      <w:pPr>
        <w:numPr>
          <w:ilvl w:val="0"/>
          <w:numId w:val="2"/>
        </w:numPr>
        <w:snapToGrid w:val="0"/>
        <w:spacing w:line="520" w:lineRule="exact"/>
        <w:ind w:firstLine="643" w:firstLineChars="200"/>
        <w:rPr>
          <w:rFonts w:hint="eastAsia" w:ascii="仿宋_GB2312" w:hAnsi="仿宋" w:eastAsia="仿宋_GB2312"/>
          <w:b/>
          <w:sz w:val="32"/>
          <w:szCs w:val="32"/>
        </w:rPr>
      </w:pPr>
      <w:r>
        <w:rPr>
          <w:rFonts w:hint="eastAsia" w:ascii="仿宋_GB2312" w:hAnsi="仿宋" w:eastAsia="仿宋_GB2312"/>
          <w:b/>
          <w:sz w:val="32"/>
          <w:szCs w:val="32"/>
        </w:rPr>
        <w:t>收入支出结构分析。</w:t>
      </w:r>
    </w:p>
    <w:p>
      <w:pPr>
        <w:numPr>
          <w:ilvl w:val="0"/>
          <w:numId w:val="0"/>
        </w:numPr>
        <w:snapToGrid w:val="0"/>
        <w:spacing w:line="520" w:lineRule="exact"/>
        <w:ind w:firstLine="643" w:firstLineChars="200"/>
        <w:rPr>
          <w:rFonts w:hint="eastAsia" w:ascii="仿宋_GB2312" w:hAnsi="仿宋" w:eastAsia="仿宋_GB2312"/>
          <w:b/>
          <w:sz w:val="32"/>
          <w:szCs w:val="32"/>
        </w:rPr>
      </w:pPr>
      <w:r>
        <w:rPr>
          <w:rFonts w:hint="eastAsia" w:ascii="楷体_GB2312" w:hAnsi="仿宋" w:eastAsia="楷体_GB2312"/>
          <w:b/>
          <w:sz w:val="32"/>
          <w:szCs w:val="32"/>
        </w:rPr>
        <w:pict>
          <v:shape id="_x0000_s1028" o:spid="_x0000_s1028" o:spt="75" type="#_x0000_t75" style="position:absolute;left:0pt;margin-left:18.65pt;margin-top:12.05pt;height:111.55pt;width:364.45pt;mso-wrap-distance-bottom:0pt;mso-wrap-distance-left:9pt;mso-wrap-distance-right:9pt;mso-wrap-distance-top:0pt;z-index:251661312;mso-width-relative:page;mso-height-relative:page;" o:ole="t" filled="f" o:preferrelative="t" stroked="f" coordsize="21600,21600">
            <v:path/>
            <v:fill on="f" focussize="0,0"/>
            <v:stroke on="f"/>
            <v:imagedata r:id="rId12" o:title=""/>
            <o:lock v:ext="edit" aspectratio="t"/>
            <w10:wrap type="square"/>
          </v:shape>
          <o:OLEObject Type="Embed" ProgID="Excel.Chart.8" ShapeID="_x0000_s1028" DrawAspect="Content" ObjectID="_1468075727" r:id="rId11">
            <o:LockedField>false</o:LockedField>
          </o:OLEObject>
        </w:pict>
      </w:r>
    </w:p>
    <w:p>
      <w:pPr>
        <w:numPr>
          <w:ilvl w:val="0"/>
          <w:numId w:val="0"/>
        </w:numPr>
        <w:snapToGrid w:val="0"/>
        <w:spacing w:line="520" w:lineRule="exact"/>
        <w:ind w:firstLine="643" w:firstLineChars="200"/>
        <w:rPr>
          <w:rFonts w:hint="eastAsia" w:ascii="仿宋_GB2312" w:hAnsi="仿宋" w:eastAsia="仿宋_GB2312"/>
          <w:b/>
          <w:sz w:val="32"/>
          <w:szCs w:val="32"/>
        </w:rPr>
      </w:pPr>
    </w:p>
    <w:p>
      <w:pPr>
        <w:numPr>
          <w:ilvl w:val="0"/>
          <w:numId w:val="0"/>
        </w:numPr>
        <w:snapToGrid w:val="0"/>
        <w:spacing w:line="520" w:lineRule="exact"/>
        <w:ind w:firstLine="643" w:firstLineChars="200"/>
        <w:rPr>
          <w:rFonts w:hint="eastAsia" w:ascii="仿宋_GB2312" w:hAnsi="仿宋" w:eastAsia="仿宋_GB2312"/>
          <w:b/>
          <w:sz w:val="32"/>
          <w:szCs w:val="32"/>
        </w:rPr>
      </w:pPr>
    </w:p>
    <w:p>
      <w:pPr>
        <w:numPr>
          <w:ilvl w:val="0"/>
          <w:numId w:val="0"/>
        </w:numPr>
        <w:snapToGrid w:val="0"/>
        <w:spacing w:line="520" w:lineRule="exact"/>
        <w:ind w:firstLine="643" w:firstLineChars="200"/>
        <w:rPr>
          <w:rFonts w:hint="eastAsia" w:ascii="仿宋_GB2312" w:hAnsi="仿宋" w:eastAsia="仿宋_GB2312"/>
          <w:b/>
          <w:sz w:val="32"/>
          <w:szCs w:val="32"/>
        </w:rPr>
      </w:pPr>
    </w:p>
    <w:p>
      <w:pPr>
        <w:snapToGrid w:val="0"/>
        <w:spacing w:line="520" w:lineRule="exact"/>
        <w:ind w:firstLine="0" w:firstLineChars="0"/>
        <w:rPr>
          <w:rFonts w:hint="eastAsia" w:ascii="仿宋_GB2312" w:hAnsi="仿宋" w:eastAsia="仿宋_GB2312"/>
          <w:sz w:val="32"/>
          <w:szCs w:val="32"/>
        </w:rPr>
      </w:pPr>
    </w:p>
    <w:p>
      <w:pPr>
        <w:snapToGrid w:val="0"/>
        <w:spacing w:line="520" w:lineRule="exact"/>
        <w:ind w:firstLine="0" w:firstLineChars="0"/>
        <w:rPr>
          <w:rFonts w:ascii="仿宋_GB2312" w:hAnsi="仿宋" w:eastAsia="仿宋_GB2312"/>
          <w:b/>
          <w:sz w:val="32"/>
          <w:szCs w:val="32"/>
        </w:rPr>
      </w:pPr>
      <w:r>
        <w:rPr>
          <w:rFonts w:hint="eastAsia" w:ascii="仿宋_GB2312" w:hAnsi="仿宋" w:eastAsia="仿宋_GB2312"/>
          <w:b/>
          <w:sz w:val="32"/>
          <w:szCs w:val="32"/>
        </w:rPr>
        <w:t>3．支出按经济分类科目分析。</w:t>
      </w:r>
    </w:p>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（1）“三公”经费支出情况：2023年度公用经费预算</w:t>
      </w:r>
      <w:r>
        <w:rPr>
          <w:rFonts w:hint="eastAsia" w:ascii="仿宋_GB2312" w:hAnsi="仿宋" w:eastAsia="仿宋_GB2312"/>
          <w:sz w:val="32"/>
          <w:szCs w:val="32"/>
          <w:lang w:val="en-US" w:eastAsia="zh-CN"/>
        </w:rPr>
        <w:t>164866.52</w:t>
      </w:r>
      <w:r>
        <w:rPr>
          <w:rFonts w:hint="eastAsia" w:ascii="仿宋_GB2312" w:hAnsi="仿宋" w:eastAsia="仿宋_GB2312"/>
          <w:sz w:val="32"/>
          <w:szCs w:val="32"/>
        </w:rPr>
        <w:t>元，支出</w:t>
      </w:r>
      <w:r>
        <w:rPr>
          <w:rFonts w:hint="eastAsia" w:ascii="仿宋_GB2312" w:hAnsi="仿宋" w:eastAsia="仿宋_GB2312"/>
          <w:sz w:val="32"/>
          <w:szCs w:val="32"/>
          <w:lang w:val="en-US" w:eastAsia="zh-CN"/>
        </w:rPr>
        <w:t>164866.52</w:t>
      </w:r>
      <w:r>
        <w:rPr>
          <w:rFonts w:hint="eastAsia" w:ascii="仿宋_GB2312" w:hAnsi="仿宋" w:eastAsia="仿宋_GB2312"/>
          <w:sz w:val="32"/>
          <w:szCs w:val="32"/>
        </w:rPr>
        <w:t>元</w:t>
      </w:r>
      <w:r>
        <w:rPr>
          <w:rFonts w:hint="eastAsia" w:ascii="仿宋_GB2312" w:hAnsi="仿宋" w:eastAsia="仿宋_GB2312" w:cs="仿宋"/>
          <w:color w:val="000000"/>
          <w:sz w:val="32"/>
          <w:szCs w:val="32"/>
        </w:rPr>
        <w:t>。</w:t>
      </w:r>
    </w:p>
    <w:p>
      <w:pPr>
        <w:snapToGrid w:val="0"/>
        <w:spacing w:line="52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4.财政拨款收入、支出分析。</w:t>
      </w:r>
    </w:p>
    <w:p>
      <w:pPr>
        <w:snapToGrid w:val="0"/>
        <w:spacing w:line="520" w:lineRule="exact"/>
        <w:rPr>
          <w:rFonts w:ascii="仿宋_GB2312" w:hAnsi="仿宋" w:eastAsia="仿宋_GB2312"/>
          <w:sz w:val="32"/>
          <w:szCs w:val="32"/>
        </w:rPr>
      </w:pPr>
      <w:r>
        <w:rPr>
          <w:rFonts w:hint="eastAsia" w:ascii="仿宋_GB2312" w:hAnsi="仿宋" w:eastAsia="仿宋_GB2312"/>
          <w:sz w:val="32"/>
          <w:szCs w:val="32"/>
        </w:rPr>
        <w:t>2023年财政拨款</w:t>
      </w:r>
      <w:r>
        <w:rPr>
          <w:rFonts w:hint="eastAsia" w:ascii="仿宋_GB2312" w:hAnsi="仿宋" w:eastAsia="仿宋_GB2312"/>
          <w:sz w:val="32"/>
          <w:szCs w:val="32"/>
          <w:lang w:val="en-US" w:eastAsia="zh-CN"/>
        </w:rPr>
        <w:t>4059106.4</w:t>
      </w:r>
      <w:r>
        <w:rPr>
          <w:rFonts w:hint="eastAsia" w:ascii="仿宋_GB2312" w:hAnsi="仿宋" w:eastAsia="仿宋_GB2312"/>
          <w:sz w:val="32"/>
          <w:szCs w:val="32"/>
        </w:rPr>
        <w:t>元，支出</w:t>
      </w:r>
      <w:r>
        <w:rPr>
          <w:rFonts w:hint="eastAsia" w:ascii="仿宋_GB2312" w:hAnsi="仿宋" w:eastAsia="仿宋_GB2312"/>
          <w:sz w:val="32"/>
          <w:szCs w:val="32"/>
          <w:lang w:val="en-US" w:eastAsia="zh-CN"/>
        </w:rPr>
        <w:t>4059106.4</w:t>
      </w:r>
      <w:r>
        <w:rPr>
          <w:rFonts w:hint="eastAsia" w:ascii="仿宋_GB2312" w:hAnsi="仿宋" w:eastAsia="仿宋_GB2312"/>
          <w:sz w:val="32"/>
          <w:szCs w:val="32"/>
        </w:rPr>
        <w:t>元</w:t>
      </w:r>
    </w:p>
    <w:p>
      <w:pPr>
        <w:snapToGrid w:val="0"/>
        <w:spacing w:line="520" w:lineRule="exact"/>
        <w:ind w:firstLine="803" w:firstLineChars="250"/>
        <w:outlineLvl w:val="0"/>
        <w:rPr>
          <w:rFonts w:hint="eastAsia" w:ascii="仿宋_GB2312" w:hAnsi="仿宋" w:eastAsia="仿宋_GB2312"/>
          <w:sz w:val="32"/>
          <w:szCs w:val="32"/>
        </w:rPr>
      </w:pPr>
      <w:r>
        <w:rPr>
          <w:rFonts w:hint="eastAsia" w:ascii="仿宋_GB2312" w:hAnsi="仿宋" w:eastAsia="仿宋_GB2312"/>
          <w:b/>
          <w:sz w:val="32"/>
          <w:szCs w:val="32"/>
        </w:rPr>
        <w:t>5.非财政拨款收入分析</w:t>
      </w:r>
      <w:r>
        <w:rPr>
          <w:rFonts w:hint="eastAsia" w:ascii="仿宋_GB2312" w:hAnsi="仿宋" w:eastAsia="仿宋_GB2312"/>
          <w:sz w:val="32"/>
          <w:szCs w:val="32"/>
        </w:rPr>
        <w:t>无</w:t>
      </w:r>
    </w:p>
    <w:p>
      <w:pPr>
        <w:snapToGrid w:val="0"/>
        <w:spacing w:line="520" w:lineRule="exact"/>
        <w:ind w:firstLine="643" w:firstLineChars="200"/>
        <w:outlineLvl w:val="0"/>
        <w:rPr>
          <w:rFonts w:ascii="楷体_GB2312" w:hAnsi="仿宋" w:eastAsia="楷体_GB2312"/>
          <w:b/>
          <w:sz w:val="32"/>
          <w:szCs w:val="32"/>
        </w:rPr>
      </w:pPr>
      <w:r>
        <w:rPr>
          <w:rFonts w:hint="eastAsia" w:ascii="楷体_GB2312" w:hAnsi="仿宋" w:eastAsia="楷体_GB2312"/>
          <w:b/>
          <w:sz w:val="32"/>
          <w:szCs w:val="32"/>
        </w:rPr>
        <w:t>（三）年末结转和结余情况。</w:t>
      </w:r>
    </w:p>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年末结转</w:t>
      </w:r>
      <w:r>
        <w:rPr>
          <w:rFonts w:hint="eastAsia" w:ascii="仿宋_GB2312" w:hAnsi="仿宋" w:eastAsia="仿宋_GB2312"/>
          <w:sz w:val="32"/>
          <w:szCs w:val="32"/>
          <w:lang w:val="en-US" w:eastAsia="zh-CN"/>
        </w:rPr>
        <w:t>0</w:t>
      </w:r>
      <w:r>
        <w:rPr>
          <w:rFonts w:hint="eastAsia" w:ascii="仿宋_GB2312" w:hAnsi="仿宋" w:eastAsia="仿宋_GB2312"/>
          <w:sz w:val="32"/>
          <w:szCs w:val="32"/>
        </w:rPr>
        <w:t>元。</w:t>
      </w:r>
    </w:p>
    <w:p>
      <w:pPr>
        <w:snapToGrid w:val="0"/>
        <w:spacing w:line="520" w:lineRule="exact"/>
        <w:ind w:firstLine="643" w:firstLineChars="200"/>
        <w:outlineLvl w:val="0"/>
        <w:rPr>
          <w:rFonts w:ascii="楷体_GB2312" w:hAnsi="仿宋" w:eastAsia="楷体_GB2312"/>
          <w:b/>
          <w:sz w:val="32"/>
          <w:szCs w:val="32"/>
        </w:rPr>
      </w:pPr>
      <w:r>
        <w:rPr>
          <w:rFonts w:hint="eastAsia" w:ascii="楷体_GB2312" w:hAnsi="仿宋" w:eastAsia="楷体_GB2312"/>
          <w:b/>
          <w:sz w:val="32"/>
          <w:szCs w:val="32"/>
        </w:rPr>
        <w:t>（四）与预算支出相关的其他指标分析。</w:t>
      </w:r>
    </w:p>
    <w:p>
      <w:pPr>
        <w:snapToGrid w:val="0"/>
        <w:spacing w:line="520" w:lineRule="exact"/>
        <w:ind w:firstLine="640" w:firstLineChars="200"/>
        <w:rPr>
          <w:rFonts w:hint="eastAsia" w:ascii="仿宋_GB2312" w:hAnsi="仿宋" w:eastAsia="仿宋_GB2312"/>
          <w:color w:val="FF0000"/>
          <w:sz w:val="32"/>
          <w:szCs w:val="32"/>
        </w:rPr>
      </w:pPr>
      <w:r>
        <w:rPr>
          <w:rFonts w:hint="eastAsia" w:ascii="仿宋_GB2312" w:hAnsi="仿宋" w:eastAsia="仿宋_GB2312"/>
          <w:sz w:val="32"/>
          <w:szCs w:val="32"/>
        </w:rPr>
        <w:t>对资产、负债信息进行分析，主要分析与上年度对比情况，包括增减绝对值与幅度，增减变动主要原因。</w:t>
      </w:r>
    </w:p>
    <w:p>
      <w:pPr>
        <w:snapToGrid w:val="0"/>
        <w:spacing w:line="520" w:lineRule="exact"/>
        <w:ind w:firstLine="643" w:firstLineChars="200"/>
        <w:outlineLvl w:val="0"/>
        <w:rPr>
          <w:rFonts w:ascii="楷体_GB2312" w:hAnsi="仿宋" w:eastAsia="楷体_GB2312"/>
          <w:b/>
          <w:sz w:val="32"/>
          <w:szCs w:val="32"/>
        </w:rPr>
      </w:pPr>
      <w:r>
        <w:rPr>
          <w:rFonts w:hint="eastAsia" w:ascii="楷体_GB2312" w:hAnsi="仿宋" w:eastAsia="楷体_GB2312"/>
          <w:b/>
          <w:sz w:val="32"/>
          <w:szCs w:val="32"/>
        </w:rPr>
        <w:t>（五）绩效目标完成情况。</w:t>
      </w:r>
    </w:p>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1.概述一级项目和二级项目绩效目标完成情况。</w:t>
      </w:r>
    </w:p>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2.概述下属单位整体支出绩效目标实现情况（如有）。</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3.概述以部门为主体开展的重点项目绩效评价情况：绩效评价结果，发现的问题及改进措施等（如有）。</w:t>
      </w:r>
    </w:p>
    <w:p>
      <w:pPr>
        <w:snapToGrid w:val="0"/>
        <w:spacing w:line="520" w:lineRule="exact"/>
        <w:ind w:firstLine="600" w:firstLineChars="200"/>
        <w:rPr>
          <w:rFonts w:ascii="仿宋_GB2312" w:hAnsi="仿宋" w:eastAsia="仿宋_GB2312"/>
          <w:sz w:val="32"/>
          <w:szCs w:val="32"/>
        </w:rPr>
      </w:pPr>
      <w:r>
        <w:rPr>
          <w:rFonts w:hint="eastAsia" w:ascii="楷体_GB2312" w:hAnsi="仿宋" w:eastAsia="楷体_GB2312"/>
          <w:sz w:val="30"/>
          <w:szCs w:val="30"/>
        </w:rPr>
        <w:t>注：个别单位如在报送决算时尚未完成绩效评价工作的，可不在报告中说明。</w:t>
      </w:r>
    </w:p>
    <w:p>
      <w:pPr>
        <w:snapToGrid w:val="0"/>
        <w:spacing w:line="520" w:lineRule="exact"/>
        <w:ind w:firstLine="643" w:firstLineChars="200"/>
        <w:rPr>
          <w:rFonts w:ascii="楷体_GB2312" w:hAnsi="仿宋" w:eastAsia="楷体_GB2312"/>
          <w:b/>
          <w:sz w:val="32"/>
          <w:szCs w:val="32"/>
        </w:rPr>
      </w:pPr>
      <w:r>
        <w:rPr>
          <w:rFonts w:hint="eastAsia" w:ascii="楷体_GB2312" w:hAnsi="仿宋" w:eastAsia="楷体_GB2312"/>
          <w:b/>
          <w:sz w:val="32"/>
          <w:szCs w:val="32"/>
        </w:rPr>
        <w:t>（六）当年预算执行及绩效管理中存在问题、原因及改进措施。</w:t>
      </w:r>
    </w:p>
    <w:p>
      <w:pPr>
        <w:snapToGrid w:val="0"/>
        <w:spacing w:line="520" w:lineRule="exact"/>
        <w:ind w:firstLine="640" w:firstLineChars="200"/>
        <w:rPr>
          <w:rFonts w:ascii="黑体" w:hAnsi="黑体" w:eastAsia="黑体"/>
          <w:sz w:val="32"/>
          <w:szCs w:val="32"/>
        </w:rPr>
      </w:pPr>
      <w:r>
        <w:rPr>
          <w:rFonts w:hint="eastAsia" w:ascii="黑体" w:hAnsi="黑体" w:eastAsia="黑体"/>
          <w:sz w:val="32"/>
          <w:szCs w:val="32"/>
        </w:rPr>
        <w:t>三、本年度部门决算等财务工作开展情况</w:t>
      </w:r>
    </w:p>
    <w:p>
      <w:pPr>
        <w:snapToGrid w:val="0"/>
        <w:spacing w:line="520" w:lineRule="exact"/>
        <w:ind w:firstLine="640" w:firstLineChars="200"/>
        <w:rPr>
          <w:rFonts w:hint="eastAsia" w:ascii="黑体" w:hAnsi="黑体" w:eastAsia="仿宋"/>
          <w:sz w:val="32"/>
          <w:szCs w:val="32"/>
        </w:rPr>
      </w:pPr>
      <w:r>
        <w:rPr>
          <w:rFonts w:hint="eastAsia" w:ascii="仿宋" w:hAnsi="仿宋" w:eastAsia="仿宋" w:cs="仿宋"/>
          <w:sz w:val="32"/>
          <w:szCs w:val="32"/>
        </w:rPr>
        <w:t>我单位严格按照《行政事业单位合计制度》要求，依据《会计法》等法规建立健全财务制度，加强对基本户与零余额账户的管理，各项收入和支出及时入账，各项资金严格按照经费批复进行使用。</w:t>
      </w:r>
    </w:p>
    <w:p>
      <w:pPr>
        <w:snapToGrid w:val="0"/>
        <w:spacing w:line="580" w:lineRule="exact"/>
        <w:ind w:firstLine="960" w:firstLineChars="300"/>
        <w:rPr>
          <w:rFonts w:ascii="楷体_GB2312" w:hAnsi="仿宋" w:eastAsia="楷体_GB2312"/>
          <w:b/>
          <w:sz w:val="32"/>
          <w:szCs w:val="32"/>
        </w:rPr>
      </w:pPr>
      <w:r>
        <w:rPr>
          <w:rFonts w:hint="eastAsia" w:ascii="仿宋_GB2312" w:hAnsi="仿宋" w:eastAsia="仿宋_GB2312"/>
          <w:sz w:val="32"/>
          <w:szCs w:val="32"/>
        </w:rPr>
        <w:t>（三）</w:t>
      </w:r>
      <w:r>
        <w:rPr>
          <w:rFonts w:hint="eastAsia" w:ascii="楷体_GB2312" w:hAnsi="仿宋" w:eastAsia="楷体_GB2312"/>
          <w:b/>
          <w:sz w:val="32"/>
          <w:szCs w:val="32"/>
        </w:rPr>
        <w:t>对部门决算管理工作的意见和建议。</w:t>
      </w:r>
    </w:p>
    <w:p>
      <w:pPr>
        <w:numPr>
          <w:ilvl w:val="0"/>
          <w:numId w:val="3"/>
        </w:numPr>
        <w:snapToGrid w:val="0"/>
        <w:ind w:firstLine="640"/>
        <w:rPr>
          <w:rFonts w:hint="eastAsia" w:ascii="仿宋_GB2312" w:hAnsi="仿宋" w:eastAsia="仿宋_GB2312"/>
          <w:sz w:val="32"/>
          <w:szCs w:val="32"/>
        </w:rPr>
      </w:pPr>
      <w:r>
        <w:rPr>
          <w:rFonts w:hint="eastAsia" w:ascii="仿宋" w:hAnsi="仿宋" w:eastAsia="仿宋" w:cs="仿宋"/>
          <w:sz w:val="32"/>
          <w:szCs w:val="32"/>
        </w:rPr>
        <w:t>强化业务培训，注重培训效果。单位财务人员的水平高低直接决定决算报表的质量和效益。应开展多渠道，多形式的业务知识培训，充分利用后续教育平台，提高财务人员的业务素质，确保会计核算水平的提高。要注重培训实效，使单位财务人员都能熟练掌握编报方法和内容。</w:t>
      </w:r>
    </w:p>
    <w:p>
      <w:pPr>
        <w:snapToGrid w:val="0"/>
        <w:rPr>
          <w:rFonts w:hint="eastAsia" w:ascii="仿宋_GB2312" w:hAnsi="仿宋" w:eastAsia="仿宋_GB2312"/>
          <w:sz w:val="32"/>
          <w:szCs w:val="32"/>
        </w:rPr>
      </w:pPr>
    </w:p>
    <w:p>
      <w:pPr>
        <w:snapToGrid w:val="0"/>
        <w:rPr>
          <w:rFonts w:hint="eastAsia" w:ascii="仿宋_GB2312" w:hAnsi="仿宋" w:eastAsia="仿宋_GB2312"/>
          <w:sz w:val="32"/>
          <w:szCs w:val="32"/>
        </w:rPr>
      </w:pPr>
    </w:p>
    <w:p>
      <w:pPr>
        <w:snapToGrid w:val="0"/>
        <w:rPr>
          <w:rFonts w:ascii="仿宋_GB2312" w:hAnsi="仿宋" w:eastAsia="仿宋_GB2312"/>
          <w:sz w:val="32"/>
          <w:szCs w:val="32"/>
        </w:rPr>
      </w:pPr>
      <w:r>
        <w:rPr>
          <w:rFonts w:hint="eastAsia" w:ascii="仿宋_GB2312" w:hAnsi="仿宋" w:eastAsia="仿宋_GB2312"/>
          <w:sz w:val="32"/>
          <w:szCs w:val="32"/>
        </w:rPr>
        <w:t>附：</w:t>
      </w:r>
    </w:p>
    <w:p>
      <w:pPr>
        <w:snapToGrid w:val="0"/>
        <w:ind w:firstLine="640" w:firstLineChars="200"/>
        <w:jc w:val="center"/>
        <w:rPr>
          <w:rFonts w:ascii="华文中宋" w:hAnsi="华文中宋" w:eastAsia="华文中宋"/>
          <w:sz w:val="32"/>
          <w:szCs w:val="32"/>
        </w:rPr>
      </w:pPr>
    </w:p>
    <w:p>
      <w:pPr>
        <w:snapToGrid w:val="0"/>
        <w:ind w:firstLine="640" w:firstLineChars="200"/>
        <w:jc w:val="center"/>
        <w:rPr>
          <w:rFonts w:ascii="华文中宋" w:hAnsi="华文中宋" w:eastAsia="华文中宋"/>
          <w:sz w:val="32"/>
          <w:szCs w:val="32"/>
        </w:rPr>
      </w:pPr>
      <w:r>
        <w:rPr>
          <w:rFonts w:hint="eastAsia" w:ascii="华文中宋" w:hAnsi="华文中宋" w:eastAsia="华文中宋"/>
          <w:sz w:val="32"/>
          <w:szCs w:val="32"/>
        </w:rPr>
        <w:t>行政事业单位财务分析指标</w:t>
      </w:r>
    </w:p>
    <w:p>
      <w:pPr>
        <w:snapToGrid w:val="0"/>
        <w:ind w:firstLine="640" w:firstLineChars="200"/>
        <w:rPr>
          <w:rFonts w:ascii="仿宋_GB2312" w:hAnsi="仿宋" w:eastAsia="仿宋_GB2312"/>
          <w:sz w:val="32"/>
          <w:szCs w:val="32"/>
        </w:rPr>
      </w:pPr>
    </w:p>
    <w:p>
      <w:pPr>
        <w:snapToGrid w:val="0"/>
        <w:ind w:firstLine="640" w:firstLineChars="200"/>
        <w:rPr>
          <w:rFonts w:ascii="黑体" w:hAnsi="黑体" w:eastAsia="黑体"/>
          <w:sz w:val="32"/>
          <w:szCs w:val="32"/>
        </w:rPr>
      </w:pPr>
      <w:r>
        <w:rPr>
          <w:rFonts w:hint="eastAsia" w:ascii="黑体" w:hAnsi="黑体" w:eastAsia="黑体"/>
          <w:sz w:val="32"/>
          <w:szCs w:val="32"/>
        </w:rPr>
        <w:t>一、行政单位财务分析指标</w:t>
      </w:r>
    </w:p>
    <w:p>
      <w:pPr>
        <w:snapToGrid w:val="0"/>
        <w:ind w:firstLine="640" w:firstLineChars="200"/>
        <w:rPr>
          <w:rFonts w:ascii="仿宋_GB2312" w:hAnsi="仿宋" w:eastAsia="仿宋_GB2312"/>
          <w:sz w:val="32"/>
          <w:szCs w:val="32"/>
        </w:rPr>
      </w:pPr>
      <w:r>
        <w:rPr>
          <w:rFonts w:hint="eastAsia" w:ascii="仿宋_GB2312" w:hAnsi="仿宋" w:eastAsia="仿宋_GB2312"/>
          <w:sz w:val="32"/>
          <w:szCs w:val="32"/>
        </w:rPr>
        <w:t>1.支出增长率，衡量行政单位支出的增长水平。计算公式为：</w:t>
      </w:r>
    </w:p>
    <w:p>
      <w:pPr>
        <w:snapToGrid w:val="0"/>
        <w:ind w:firstLine="640" w:firstLineChars="200"/>
        <w:rPr>
          <w:rFonts w:ascii="仿宋_GB2312" w:hAnsi="仿宋" w:eastAsia="仿宋_GB2312"/>
          <w:sz w:val="32"/>
          <w:szCs w:val="32"/>
        </w:rPr>
      </w:pPr>
      <w:r>
        <w:rPr>
          <w:rFonts w:hint="eastAsia" w:ascii="仿宋_GB2312" w:hAnsi="仿宋" w:eastAsia="仿宋_GB2312"/>
          <w:sz w:val="32"/>
          <w:szCs w:val="32"/>
        </w:rPr>
        <w:t>支出增长率＝(本期支出总额÷上期支出总额-1)×100%</w:t>
      </w:r>
    </w:p>
    <w:p>
      <w:pPr>
        <w:snapToGrid w:val="0"/>
        <w:ind w:firstLine="640" w:firstLineChars="200"/>
        <w:rPr>
          <w:rFonts w:ascii="仿宋_GB2312" w:hAnsi="仿宋" w:eastAsia="仿宋_GB2312"/>
          <w:sz w:val="32"/>
          <w:szCs w:val="32"/>
        </w:rPr>
      </w:pPr>
      <w:r>
        <w:rPr>
          <w:rFonts w:hint="eastAsia" w:ascii="仿宋_GB2312" w:hAnsi="仿宋" w:eastAsia="仿宋_GB2312"/>
          <w:sz w:val="32"/>
          <w:szCs w:val="32"/>
        </w:rPr>
        <w:t>2.当年预算支出完成率，衡量行政单位当年支出总预算及分项预算完成的程度。计算公式为：</w:t>
      </w:r>
    </w:p>
    <w:p>
      <w:pPr>
        <w:snapToGrid w:val="0"/>
        <w:ind w:firstLine="640" w:firstLineChars="200"/>
        <w:rPr>
          <w:rFonts w:ascii="仿宋_GB2312" w:hAnsi="仿宋" w:eastAsia="仿宋_GB2312"/>
          <w:sz w:val="32"/>
          <w:szCs w:val="32"/>
        </w:rPr>
      </w:pPr>
      <w:r>
        <w:rPr>
          <w:rFonts w:hint="eastAsia" w:ascii="仿宋_GB2312" w:hAnsi="仿宋" w:eastAsia="仿宋_GB2312"/>
          <w:sz w:val="32"/>
          <w:szCs w:val="32"/>
        </w:rPr>
        <w:t>当年预算支出完成率＝年终执行数÷全年预算数×100%</w:t>
      </w:r>
    </w:p>
    <w:p>
      <w:pPr>
        <w:snapToGrid w:val="0"/>
        <w:ind w:firstLine="640" w:firstLineChars="200"/>
        <w:rPr>
          <w:rFonts w:ascii="仿宋_GB2312" w:hAnsi="仿宋" w:eastAsia="仿宋_GB2312"/>
          <w:sz w:val="32"/>
          <w:szCs w:val="32"/>
        </w:rPr>
      </w:pPr>
      <w:r>
        <w:rPr>
          <w:rFonts w:hint="eastAsia" w:ascii="仿宋_GB2312" w:hAnsi="仿宋" w:eastAsia="仿宋_GB2312"/>
          <w:sz w:val="32"/>
          <w:szCs w:val="32"/>
        </w:rPr>
        <w:t>年终执行数不含上年结转和结余支出数。</w:t>
      </w:r>
    </w:p>
    <w:p>
      <w:pPr>
        <w:snapToGrid w:val="0"/>
        <w:ind w:firstLine="640" w:firstLineChars="200"/>
        <w:rPr>
          <w:rFonts w:ascii="仿宋_GB2312" w:hAnsi="仿宋" w:eastAsia="仿宋_GB2312"/>
          <w:sz w:val="32"/>
          <w:szCs w:val="32"/>
        </w:rPr>
      </w:pPr>
      <w:r>
        <w:rPr>
          <w:rFonts w:hint="eastAsia" w:ascii="仿宋_GB2312" w:hAnsi="仿宋" w:eastAsia="仿宋_GB2312"/>
          <w:sz w:val="32"/>
          <w:szCs w:val="32"/>
        </w:rPr>
        <w:t>3.人均开支，衡量行政单位人均年消耗经费水平。计算公式为：</w:t>
      </w:r>
    </w:p>
    <w:p>
      <w:pPr>
        <w:snapToGrid w:val="0"/>
        <w:ind w:firstLine="640" w:firstLineChars="200"/>
        <w:rPr>
          <w:rFonts w:ascii="仿宋_GB2312" w:hAnsi="仿宋" w:eastAsia="仿宋_GB2312"/>
          <w:sz w:val="32"/>
          <w:szCs w:val="32"/>
        </w:rPr>
      </w:pPr>
      <w:r>
        <w:rPr>
          <w:rFonts w:hint="eastAsia" w:ascii="仿宋_GB2312" w:hAnsi="仿宋" w:eastAsia="仿宋_GB2312"/>
          <w:sz w:val="32"/>
          <w:szCs w:val="32"/>
        </w:rPr>
        <w:t>人均开支＝本期支出数÷本期平均在职人员数×100%</w:t>
      </w:r>
    </w:p>
    <w:p>
      <w:pPr>
        <w:snapToGrid w:val="0"/>
        <w:ind w:firstLine="640" w:firstLineChars="200"/>
        <w:rPr>
          <w:rFonts w:ascii="仿宋_GB2312" w:hAnsi="仿宋" w:eastAsia="仿宋_GB2312"/>
          <w:sz w:val="32"/>
          <w:szCs w:val="32"/>
        </w:rPr>
      </w:pPr>
      <w:r>
        <w:rPr>
          <w:rFonts w:hint="eastAsia" w:ascii="仿宋_GB2312" w:hAnsi="仿宋" w:eastAsia="仿宋_GB2312"/>
          <w:sz w:val="32"/>
          <w:szCs w:val="32"/>
        </w:rPr>
        <w:t>4.项目支出占总支出的比率，衡量行政单位的支出结构。计算公式为：</w:t>
      </w:r>
    </w:p>
    <w:p>
      <w:pPr>
        <w:snapToGrid w:val="0"/>
        <w:ind w:firstLine="640" w:firstLineChars="200"/>
        <w:rPr>
          <w:rFonts w:ascii="仿宋_GB2312" w:hAnsi="仿宋" w:eastAsia="仿宋_GB2312"/>
          <w:sz w:val="32"/>
          <w:szCs w:val="32"/>
        </w:rPr>
      </w:pPr>
      <w:r>
        <w:rPr>
          <w:rFonts w:hint="eastAsia" w:ascii="仿宋_GB2312" w:hAnsi="仿宋" w:eastAsia="仿宋_GB2312"/>
          <w:sz w:val="32"/>
          <w:szCs w:val="32"/>
        </w:rPr>
        <w:t>项目支出比率=本期项目支出数÷本期支出总数×100%</w:t>
      </w:r>
    </w:p>
    <w:p>
      <w:pPr>
        <w:snapToGrid w:val="0"/>
        <w:ind w:firstLine="640" w:firstLineChars="200"/>
        <w:rPr>
          <w:rFonts w:ascii="仿宋_GB2312" w:hAnsi="仿宋" w:eastAsia="仿宋_GB2312"/>
          <w:sz w:val="32"/>
          <w:szCs w:val="32"/>
        </w:rPr>
      </w:pPr>
      <w:r>
        <w:rPr>
          <w:rFonts w:hint="eastAsia" w:ascii="仿宋_GB2312" w:hAnsi="仿宋" w:eastAsia="仿宋_GB2312"/>
          <w:sz w:val="32"/>
          <w:szCs w:val="32"/>
        </w:rPr>
        <w:t>5.人员支出、公用支出占总支出的比率，衡量行政单位的支出结构。计算公式为：</w:t>
      </w:r>
    </w:p>
    <w:p>
      <w:pPr>
        <w:snapToGrid w:val="0"/>
        <w:ind w:firstLine="640" w:firstLineChars="200"/>
        <w:rPr>
          <w:rFonts w:ascii="仿宋_GB2312" w:hAnsi="仿宋" w:eastAsia="仿宋_GB2312"/>
          <w:sz w:val="32"/>
          <w:szCs w:val="32"/>
        </w:rPr>
      </w:pPr>
      <w:r>
        <w:rPr>
          <w:rFonts w:hint="eastAsia" w:ascii="仿宋_GB2312" w:hAnsi="仿宋" w:eastAsia="仿宋_GB2312"/>
          <w:sz w:val="32"/>
          <w:szCs w:val="32"/>
        </w:rPr>
        <w:t>人员支出比率=本期人员支出数÷本期支出总数×100%</w:t>
      </w:r>
    </w:p>
    <w:p>
      <w:pPr>
        <w:snapToGrid w:val="0"/>
        <w:ind w:firstLine="640" w:firstLineChars="200"/>
        <w:rPr>
          <w:rFonts w:ascii="仿宋_GB2312" w:hAnsi="仿宋" w:eastAsia="仿宋_GB2312"/>
          <w:sz w:val="32"/>
          <w:szCs w:val="32"/>
        </w:rPr>
      </w:pPr>
      <w:r>
        <w:rPr>
          <w:rFonts w:hint="eastAsia" w:ascii="仿宋_GB2312" w:hAnsi="仿宋" w:eastAsia="仿宋_GB2312"/>
          <w:sz w:val="32"/>
          <w:szCs w:val="32"/>
        </w:rPr>
        <w:t>公用支出比率=本期公用支出数÷本期支出总数×100%</w:t>
      </w:r>
    </w:p>
    <w:p>
      <w:pPr>
        <w:snapToGrid w:val="0"/>
        <w:ind w:firstLine="640" w:firstLineChars="200"/>
        <w:rPr>
          <w:rFonts w:ascii="仿宋_GB2312" w:hAnsi="仿宋" w:eastAsia="仿宋_GB2312"/>
          <w:sz w:val="32"/>
          <w:szCs w:val="32"/>
        </w:rPr>
      </w:pPr>
      <w:r>
        <w:rPr>
          <w:rFonts w:hint="eastAsia" w:ascii="仿宋_GB2312" w:hAnsi="仿宋" w:eastAsia="仿宋_GB2312"/>
          <w:sz w:val="32"/>
          <w:szCs w:val="32"/>
        </w:rPr>
        <w:t>6.人均办公使用面积，衡量行政单位办公用房配备情况。计算公式为：</w:t>
      </w:r>
    </w:p>
    <w:p>
      <w:pPr>
        <w:snapToGrid w:val="0"/>
        <w:ind w:firstLine="640" w:firstLineChars="200"/>
        <w:rPr>
          <w:rFonts w:ascii="仿宋_GB2312" w:hAnsi="仿宋" w:eastAsia="仿宋_GB2312"/>
          <w:sz w:val="32"/>
          <w:szCs w:val="32"/>
        </w:rPr>
      </w:pPr>
      <w:r>
        <w:rPr>
          <w:rFonts w:hint="eastAsia" w:ascii="仿宋_GB2312" w:hAnsi="仿宋" w:eastAsia="仿宋_GB2312"/>
          <w:sz w:val="32"/>
          <w:szCs w:val="32"/>
        </w:rPr>
        <w:t>人均办公使用面积=本期末单位办公用房使用面积÷本期末在职人员数</w:t>
      </w:r>
    </w:p>
    <w:p>
      <w:pPr>
        <w:snapToGrid w:val="0"/>
        <w:ind w:firstLine="640" w:firstLineChars="200"/>
        <w:rPr>
          <w:rFonts w:ascii="仿宋_GB2312" w:hAnsi="仿宋" w:eastAsia="仿宋_GB2312"/>
          <w:sz w:val="32"/>
          <w:szCs w:val="32"/>
        </w:rPr>
      </w:pPr>
      <w:r>
        <w:rPr>
          <w:rFonts w:hint="eastAsia" w:ascii="仿宋_GB2312" w:hAnsi="仿宋" w:eastAsia="仿宋_GB2312"/>
          <w:sz w:val="32"/>
          <w:szCs w:val="32"/>
        </w:rPr>
        <w:t>7.人车比例，衡量行政单位公务用车配备情况。计算公式为：</w:t>
      </w:r>
    </w:p>
    <w:p>
      <w:pPr>
        <w:snapToGrid w:val="0"/>
        <w:ind w:firstLine="640" w:firstLineChars="200"/>
        <w:rPr>
          <w:rFonts w:ascii="仿宋_GB2312" w:hAnsi="仿宋" w:eastAsia="仿宋_GB2312"/>
          <w:sz w:val="32"/>
          <w:szCs w:val="32"/>
        </w:rPr>
      </w:pPr>
      <w:r>
        <w:rPr>
          <w:rFonts w:hint="eastAsia" w:ascii="仿宋_GB2312" w:hAnsi="仿宋" w:eastAsia="仿宋_GB2312"/>
          <w:sz w:val="32"/>
          <w:szCs w:val="32"/>
        </w:rPr>
        <w:t>人车比例=本期末在职人员数÷本期末公务用车实有数:1</w:t>
      </w:r>
    </w:p>
    <w:p>
      <w:pPr>
        <w:snapToGrid w:val="0"/>
        <w:ind w:firstLine="640" w:firstLineChars="200"/>
        <w:rPr>
          <w:rFonts w:ascii="仿宋_GB2312" w:hAnsi="仿宋" w:eastAsia="仿宋_GB2312"/>
          <w:sz w:val="32"/>
          <w:szCs w:val="32"/>
        </w:rPr>
      </w:pPr>
    </w:p>
    <w:p>
      <w:pPr>
        <w:snapToGrid w:val="0"/>
        <w:ind w:firstLine="640" w:firstLineChars="200"/>
        <w:rPr>
          <w:rFonts w:ascii="黑体" w:hAnsi="黑体" w:eastAsia="黑体"/>
          <w:sz w:val="32"/>
          <w:szCs w:val="32"/>
        </w:rPr>
      </w:pPr>
      <w:r>
        <w:rPr>
          <w:rFonts w:hint="eastAsia" w:ascii="黑体" w:hAnsi="黑体" w:eastAsia="黑体"/>
          <w:sz w:val="32"/>
          <w:szCs w:val="32"/>
        </w:rPr>
        <w:t>二、事业单位财务分析指标</w:t>
      </w:r>
    </w:p>
    <w:p>
      <w:pPr>
        <w:snapToGrid w:val="0"/>
        <w:ind w:firstLine="640" w:firstLineChars="200"/>
        <w:rPr>
          <w:rFonts w:hint="eastAsia" w:ascii="仿宋_GB2312" w:hAnsi="仿宋" w:eastAsia="仿宋_GB2312"/>
          <w:sz w:val="32"/>
          <w:szCs w:val="32"/>
        </w:rPr>
      </w:pPr>
      <w:r>
        <w:rPr>
          <w:rFonts w:hint="eastAsia" w:ascii="仿宋_GB2312" w:hAnsi="仿宋" w:eastAsia="仿宋_GB2312"/>
          <w:sz w:val="32"/>
          <w:szCs w:val="32"/>
        </w:rPr>
        <w:t>1.预算收入和支出完成率，衡量事业单位收入和支出总预算及分项预算完成的程度。计算公式为：</w:t>
      </w:r>
    </w:p>
    <w:p>
      <w:pPr>
        <w:snapToGrid w:val="0"/>
        <w:ind w:firstLine="640" w:firstLineChars="200"/>
        <w:rPr>
          <w:rFonts w:hint="eastAsia" w:ascii="仿宋_GB2312" w:hAnsi="仿宋" w:eastAsia="仿宋_GB2312"/>
          <w:sz w:val="32"/>
          <w:szCs w:val="32"/>
        </w:rPr>
      </w:pPr>
      <w:r>
        <w:rPr>
          <w:rFonts w:hint="eastAsia" w:ascii="仿宋_GB2312" w:hAnsi="仿宋" w:eastAsia="仿宋_GB2312"/>
          <w:sz w:val="32"/>
          <w:szCs w:val="32"/>
        </w:rPr>
        <w:t>预算收入完成率＝年终执行数÷全年预算数×100%</w:t>
      </w:r>
    </w:p>
    <w:p>
      <w:pPr>
        <w:snapToGrid w:val="0"/>
        <w:ind w:firstLine="640" w:firstLineChars="200"/>
        <w:rPr>
          <w:rFonts w:hint="eastAsia" w:ascii="仿宋_GB2312" w:hAnsi="仿宋" w:eastAsia="仿宋_GB2312"/>
          <w:sz w:val="32"/>
          <w:szCs w:val="32"/>
        </w:rPr>
      </w:pPr>
      <w:r>
        <w:rPr>
          <w:rFonts w:hint="eastAsia" w:ascii="仿宋_GB2312" w:hAnsi="仿宋" w:eastAsia="仿宋_GB2312"/>
          <w:sz w:val="32"/>
          <w:szCs w:val="32"/>
        </w:rPr>
        <w:t>年终执行数不含上年结转和结余收入数</w:t>
      </w:r>
    </w:p>
    <w:p>
      <w:pPr>
        <w:snapToGrid w:val="0"/>
        <w:ind w:firstLine="640" w:firstLineChars="200"/>
        <w:rPr>
          <w:rFonts w:ascii="仿宋_GB2312" w:hAnsi="仿宋" w:eastAsia="仿宋_GB2312"/>
          <w:sz w:val="32"/>
          <w:szCs w:val="32"/>
        </w:rPr>
      </w:pPr>
      <w:r>
        <w:rPr>
          <w:rFonts w:hint="eastAsia" w:ascii="仿宋_GB2312" w:hAnsi="仿宋" w:eastAsia="仿宋_GB2312"/>
          <w:sz w:val="32"/>
          <w:szCs w:val="32"/>
        </w:rPr>
        <w:t>预算支出完成率＝年终执行数÷全年预算数×100%</w:t>
      </w:r>
    </w:p>
    <w:p>
      <w:pPr>
        <w:snapToGrid w:val="0"/>
        <w:ind w:firstLine="640" w:firstLineChars="200"/>
        <w:rPr>
          <w:rFonts w:ascii="仿宋_GB2312" w:hAnsi="仿宋" w:eastAsia="仿宋_GB2312"/>
          <w:sz w:val="32"/>
          <w:szCs w:val="32"/>
        </w:rPr>
      </w:pPr>
      <w:r>
        <w:rPr>
          <w:rFonts w:hint="eastAsia" w:ascii="仿宋_GB2312" w:hAnsi="仿宋" w:eastAsia="仿宋_GB2312"/>
          <w:sz w:val="32"/>
          <w:szCs w:val="32"/>
        </w:rPr>
        <w:t>年终执行数不含上年结转和结余支出数</w:t>
      </w:r>
    </w:p>
    <w:p>
      <w:pPr>
        <w:snapToGrid w:val="0"/>
        <w:ind w:firstLine="640" w:firstLineChars="200"/>
        <w:rPr>
          <w:rFonts w:ascii="仿宋_GB2312" w:hAnsi="仿宋" w:eastAsia="仿宋_GB2312"/>
          <w:sz w:val="32"/>
          <w:szCs w:val="32"/>
        </w:rPr>
      </w:pPr>
      <w:r>
        <w:rPr>
          <w:rFonts w:hint="eastAsia" w:ascii="仿宋_GB2312" w:hAnsi="仿宋" w:eastAsia="仿宋_GB2312"/>
          <w:sz w:val="32"/>
          <w:szCs w:val="32"/>
        </w:rPr>
        <w:t>2.人员支出、公用支出占事业支出的比率，衡量事业单位事业支出结构。计算公式为：</w:t>
      </w:r>
    </w:p>
    <w:p>
      <w:pPr>
        <w:snapToGrid w:val="0"/>
        <w:ind w:firstLine="640" w:firstLineChars="200"/>
        <w:rPr>
          <w:rFonts w:ascii="仿宋_GB2312" w:hAnsi="仿宋" w:eastAsia="仿宋_GB2312"/>
          <w:sz w:val="32"/>
          <w:szCs w:val="32"/>
        </w:rPr>
      </w:pPr>
      <w:r>
        <w:rPr>
          <w:rFonts w:hint="eastAsia" w:ascii="仿宋_GB2312" w:hAnsi="仿宋" w:eastAsia="仿宋_GB2312"/>
          <w:sz w:val="32"/>
          <w:szCs w:val="32"/>
        </w:rPr>
        <w:t>人员支出比率＝人员支出÷事业支出×100%</w:t>
      </w:r>
    </w:p>
    <w:p>
      <w:pPr>
        <w:snapToGrid w:val="0"/>
        <w:ind w:firstLine="640" w:firstLineChars="200"/>
        <w:rPr>
          <w:rFonts w:ascii="仿宋_GB2312" w:hAnsi="仿宋" w:eastAsia="仿宋_GB2312"/>
          <w:sz w:val="32"/>
          <w:szCs w:val="32"/>
        </w:rPr>
      </w:pPr>
      <w:r>
        <w:rPr>
          <w:rFonts w:hint="eastAsia" w:ascii="仿宋_GB2312" w:hAnsi="仿宋" w:eastAsia="仿宋_GB2312"/>
          <w:sz w:val="32"/>
          <w:szCs w:val="32"/>
        </w:rPr>
        <w:t>公用支出比率＝公用支出÷事业支出×100%</w:t>
      </w:r>
    </w:p>
    <w:p>
      <w:pPr>
        <w:snapToGrid w:val="0"/>
        <w:ind w:firstLine="640" w:firstLineChars="200"/>
        <w:rPr>
          <w:rFonts w:ascii="仿宋_GB2312" w:hAnsi="仿宋" w:eastAsia="仿宋_GB2312"/>
          <w:sz w:val="32"/>
          <w:szCs w:val="32"/>
        </w:rPr>
      </w:pPr>
      <w:r>
        <w:rPr>
          <w:rFonts w:hint="eastAsia" w:ascii="仿宋_GB2312" w:hAnsi="仿宋" w:eastAsia="仿宋_GB2312"/>
          <w:sz w:val="32"/>
          <w:szCs w:val="32"/>
        </w:rPr>
        <w:t>3.人均基本支出，衡量事业单位按照实际在编人数平均的基本支出水平。计算公式为：</w:t>
      </w:r>
    </w:p>
    <w:p>
      <w:pPr>
        <w:snapToGrid w:val="0"/>
        <w:ind w:firstLine="640" w:firstLineChars="200"/>
        <w:rPr>
          <w:rFonts w:ascii="仿宋_GB2312" w:hAnsi="仿宋" w:eastAsia="仿宋_GB2312"/>
          <w:b/>
          <w:sz w:val="32"/>
          <w:szCs w:val="32"/>
        </w:rPr>
      </w:pPr>
      <w:r>
        <w:rPr>
          <w:rFonts w:hint="eastAsia" w:ascii="仿宋_GB2312" w:hAnsi="仿宋" w:eastAsia="仿宋_GB2312"/>
          <w:sz w:val="32"/>
          <w:szCs w:val="32"/>
        </w:rPr>
        <w:t>人均基本支出＝（基本支出-离退休人员支出）÷实际在编人数</w:t>
      </w:r>
    </w:p>
    <w:p>
      <w:pPr>
        <w:snapToGrid w:val="0"/>
        <w:ind w:firstLine="640" w:firstLineChars="200"/>
        <w:rPr>
          <w:rFonts w:ascii="仿宋_GB2312" w:hAnsi="仿宋" w:eastAsia="仿宋_GB2312"/>
          <w:sz w:val="32"/>
          <w:szCs w:val="32"/>
        </w:rPr>
      </w:pPr>
    </w:p>
    <w:p>
      <w:pPr>
        <w:snapToGrid w:val="0"/>
        <w:ind w:firstLine="640" w:firstLineChars="200"/>
        <w:rPr>
          <w:rFonts w:ascii="仿宋_GB2312" w:hAnsi="仿宋" w:eastAsia="仿宋_GB2312"/>
          <w:sz w:val="32"/>
          <w:szCs w:val="32"/>
        </w:rPr>
      </w:pPr>
      <w:r>
        <w:rPr>
          <w:rFonts w:hint="eastAsia" w:ascii="仿宋_GB2312" w:hAnsi="仿宋" w:eastAsia="仿宋_GB2312"/>
          <w:sz w:val="32"/>
          <w:szCs w:val="32"/>
        </w:rPr>
        <w:t>此外，行业事业单位还可根据相关财务制度规定和分析需要增加相关分析指标，如：</w:t>
      </w:r>
    </w:p>
    <w:p>
      <w:pPr>
        <w:ind w:firstLine="707" w:firstLineChars="221"/>
        <w:rPr>
          <w:rFonts w:ascii="仿宋_GB2312" w:hAnsi="仿宋" w:eastAsia="仿宋_GB2312"/>
          <w:sz w:val="32"/>
          <w:szCs w:val="32"/>
        </w:rPr>
      </w:pPr>
      <w:r>
        <w:rPr>
          <w:rFonts w:hint="eastAsia" w:ascii="仿宋_GB2312" w:hAnsi="仿宋" w:eastAsia="仿宋_GB2312"/>
          <w:sz w:val="32"/>
          <w:szCs w:val="32"/>
        </w:rPr>
        <w:t>1.财政拨款依存度, 衡量部门（单位）对财政拨款的依赖程度。</w:t>
      </w:r>
    </w:p>
    <w:p>
      <w:pPr>
        <w:widowControl/>
        <w:ind w:firstLine="640" w:firstLineChars="200"/>
        <w:textAlignment w:val="center"/>
        <w:rPr>
          <w:color w:val="0000FF"/>
        </w:rPr>
      </w:pPr>
      <w:r>
        <w:rPr>
          <w:rFonts w:hint="eastAsia" w:ascii="仿宋_GB2312" w:hAnsi="仿宋" w:eastAsia="仿宋_GB2312"/>
          <w:sz w:val="32"/>
          <w:szCs w:val="32"/>
        </w:rPr>
        <w:t>财政拨款依存度＝财政拨款收入÷收入总额×100%</w:t>
      </w:r>
    </w:p>
    <w:p>
      <w:pPr>
        <w:pStyle w:val="10"/>
        <w:widowControl/>
        <w:spacing w:before="0" w:beforeAutospacing="0" w:after="0" w:afterAutospacing="0" w:line="576" w:lineRule="exact"/>
        <w:ind w:left="420"/>
        <w:jc w:val="both"/>
        <w:rPr>
          <w:rFonts w:hint="eastAsia" w:ascii="微软雅黑" w:hAnsi="微软雅黑" w:eastAsia="微软雅黑" w:cs="微软雅黑"/>
          <w:b/>
          <w:bCs/>
          <w:color w:val="000000"/>
        </w:rPr>
      </w:pPr>
      <w:r>
        <w:rPr>
          <w:rFonts w:ascii="仿宋_GB2312" w:hAnsi="仿宋" w:eastAsia="仿宋_GB2312"/>
          <w:sz w:val="32"/>
          <w:szCs w:val="32"/>
        </w:rPr>
        <w:br w:type="page"/>
      </w:r>
    </w:p>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4"/>
        <w:sz w:val="24"/>
        <w:szCs w:val="24"/>
      </w:rPr>
    </w:pPr>
    <w:r>
      <w:rPr>
        <w:sz w:val="24"/>
        <w:szCs w:val="24"/>
      </w:rPr>
      <w:fldChar w:fldCharType="begin"/>
    </w:r>
    <w:r>
      <w:rPr>
        <w:rStyle w:val="14"/>
        <w:sz w:val="24"/>
        <w:szCs w:val="24"/>
      </w:rPr>
      <w:instrText xml:space="preserve">PAGE  </w:instrText>
    </w:r>
    <w:r>
      <w:rPr>
        <w:sz w:val="24"/>
        <w:szCs w:val="24"/>
      </w:rPr>
      <w:fldChar w:fldCharType="separate"/>
    </w:r>
    <w:r>
      <w:rPr>
        <w:rStyle w:val="14"/>
        <w:sz w:val="24"/>
        <w:szCs w:val="24"/>
        <w:lang/>
      </w:rPr>
      <w:t>4</w:t>
    </w:r>
    <w:r>
      <w:rPr>
        <w:sz w:val="24"/>
        <w:szCs w:val="24"/>
      </w:rP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4"/>
      </w:rPr>
    </w:pPr>
    <w:r>
      <w:fldChar w:fldCharType="begin"/>
    </w:r>
    <w:r>
      <w:rPr>
        <w:rStyle w:val="14"/>
      </w:rPr>
      <w:instrText xml:space="preserve">PAGE  </w:instrText>
    </w:r>
    <w:r>
      <w:fldChar w:fldCharType="separate"/>
    </w:r>
    <w: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58121D"/>
    <w:multiLevelType w:val="singleLevel"/>
    <w:tmpl w:val="BE58121D"/>
    <w:lvl w:ilvl="0" w:tentative="0">
      <w:start w:val="2"/>
      <w:numFmt w:val="chineseCounting"/>
      <w:suff w:val="nothing"/>
      <w:lvlText w:val="%1、"/>
      <w:lvlJc w:val="left"/>
      <w:rPr>
        <w:rFonts w:hint="eastAsia"/>
      </w:rPr>
    </w:lvl>
  </w:abstractNum>
  <w:abstractNum w:abstractNumId="1">
    <w:nsid w:val="10E6921E"/>
    <w:multiLevelType w:val="singleLevel"/>
    <w:tmpl w:val="10E6921E"/>
    <w:lvl w:ilvl="0" w:tentative="0">
      <w:start w:val="2"/>
      <w:numFmt w:val="decimal"/>
      <w:suff w:val="nothing"/>
      <w:lvlText w:val="%1．"/>
      <w:lvlJc w:val="left"/>
    </w:lvl>
  </w:abstractNum>
  <w:abstractNum w:abstractNumId="2">
    <w:nsid w:val="5A70162D"/>
    <w:multiLevelType w:val="singleLevel"/>
    <w:tmpl w:val="5A70162D"/>
    <w:lvl w:ilvl="0" w:tentative="0">
      <w:start w:val="1"/>
      <w:numFmt w:val="decimal"/>
      <w:suff w:val="nothing"/>
      <w:lvlText w:val="%1、"/>
      <w:lvlJc w:val="left"/>
      <w:pPr>
        <w:ind w:left="-4"/>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xMGIxNDM1NTViMDJkNGI4MjY5ZWEwYTg2ZWE0MWYifQ=="/>
  </w:docVars>
  <w:rsids>
    <w:rsidRoot w:val="00172A27"/>
    <w:rsid w:val="00085711"/>
    <w:rsid w:val="005216FE"/>
    <w:rsid w:val="00554311"/>
    <w:rsid w:val="0078267A"/>
    <w:rsid w:val="01666245"/>
    <w:rsid w:val="02D80C1D"/>
    <w:rsid w:val="03182BD9"/>
    <w:rsid w:val="03CB45C7"/>
    <w:rsid w:val="03CD527D"/>
    <w:rsid w:val="03D575A8"/>
    <w:rsid w:val="04AD4633"/>
    <w:rsid w:val="05064282"/>
    <w:rsid w:val="07560C90"/>
    <w:rsid w:val="08421D65"/>
    <w:rsid w:val="09237740"/>
    <w:rsid w:val="0AB62D53"/>
    <w:rsid w:val="0DCC2690"/>
    <w:rsid w:val="0EAB2FCF"/>
    <w:rsid w:val="0F6902E4"/>
    <w:rsid w:val="0F690B94"/>
    <w:rsid w:val="102479DA"/>
    <w:rsid w:val="12361A84"/>
    <w:rsid w:val="127F50E9"/>
    <w:rsid w:val="14B638B3"/>
    <w:rsid w:val="151350D3"/>
    <w:rsid w:val="154E1D73"/>
    <w:rsid w:val="17822761"/>
    <w:rsid w:val="17A45E07"/>
    <w:rsid w:val="17C36FE9"/>
    <w:rsid w:val="187A66B9"/>
    <w:rsid w:val="19EE2A43"/>
    <w:rsid w:val="1AD03F53"/>
    <w:rsid w:val="1AF4155D"/>
    <w:rsid w:val="1B304B74"/>
    <w:rsid w:val="1CDC135C"/>
    <w:rsid w:val="1E7C6C7E"/>
    <w:rsid w:val="1F425DE7"/>
    <w:rsid w:val="1F532CD8"/>
    <w:rsid w:val="1F7F0059"/>
    <w:rsid w:val="203266AF"/>
    <w:rsid w:val="20F80E4A"/>
    <w:rsid w:val="211D3315"/>
    <w:rsid w:val="224D22D1"/>
    <w:rsid w:val="23946709"/>
    <w:rsid w:val="24CA1088"/>
    <w:rsid w:val="24D96692"/>
    <w:rsid w:val="24DC1A4B"/>
    <w:rsid w:val="256F0AB0"/>
    <w:rsid w:val="25B53B9E"/>
    <w:rsid w:val="26954CF8"/>
    <w:rsid w:val="27173D1A"/>
    <w:rsid w:val="27664FB1"/>
    <w:rsid w:val="28095ECC"/>
    <w:rsid w:val="2867047C"/>
    <w:rsid w:val="292255A2"/>
    <w:rsid w:val="296B605F"/>
    <w:rsid w:val="299740D3"/>
    <w:rsid w:val="2AE0051B"/>
    <w:rsid w:val="2AE928E3"/>
    <w:rsid w:val="2B49059B"/>
    <w:rsid w:val="2B581B19"/>
    <w:rsid w:val="2D8C4BC1"/>
    <w:rsid w:val="2FEC29E0"/>
    <w:rsid w:val="31080BD7"/>
    <w:rsid w:val="312B46F5"/>
    <w:rsid w:val="319752E0"/>
    <w:rsid w:val="32721271"/>
    <w:rsid w:val="343A506E"/>
    <w:rsid w:val="34472436"/>
    <w:rsid w:val="34A96F69"/>
    <w:rsid w:val="369F369A"/>
    <w:rsid w:val="380F4E3A"/>
    <w:rsid w:val="38C00B6A"/>
    <w:rsid w:val="38C42F04"/>
    <w:rsid w:val="394418E0"/>
    <w:rsid w:val="398179B8"/>
    <w:rsid w:val="3B453813"/>
    <w:rsid w:val="3C4672D9"/>
    <w:rsid w:val="3C840312"/>
    <w:rsid w:val="3CFB4679"/>
    <w:rsid w:val="3E4B1FFE"/>
    <w:rsid w:val="3EE84EDB"/>
    <w:rsid w:val="3F536D21"/>
    <w:rsid w:val="3F84409C"/>
    <w:rsid w:val="3F8C2233"/>
    <w:rsid w:val="40134CAA"/>
    <w:rsid w:val="41831414"/>
    <w:rsid w:val="41BA3B7A"/>
    <w:rsid w:val="421A0E44"/>
    <w:rsid w:val="42DE69B9"/>
    <w:rsid w:val="43610097"/>
    <w:rsid w:val="44FA52A5"/>
    <w:rsid w:val="474C22DD"/>
    <w:rsid w:val="47D2609A"/>
    <w:rsid w:val="47E92E48"/>
    <w:rsid w:val="48511138"/>
    <w:rsid w:val="495D4B69"/>
    <w:rsid w:val="497842CB"/>
    <w:rsid w:val="49E30CA1"/>
    <w:rsid w:val="4D365B21"/>
    <w:rsid w:val="4D65495D"/>
    <w:rsid w:val="4D8330BA"/>
    <w:rsid w:val="4E6E3E13"/>
    <w:rsid w:val="4F606FCB"/>
    <w:rsid w:val="4FCE4D0C"/>
    <w:rsid w:val="515D01FB"/>
    <w:rsid w:val="5183126F"/>
    <w:rsid w:val="54FE1AB3"/>
    <w:rsid w:val="5692661C"/>
    <w:rsid w:val="570D7144"/>
    <w:rsid w:val="58C223CA"/>
    <w:rsid w:val="5A637802"/>
    <w:rsid w:val="5BB618AA"/>
    <w:rsid w:val="5F3E1045"/>
    <w:rsid w:val="60B31E79"/>
    <w:rsid w:val="60E32261"/>
    <w:rsid w:val="60E50004"/>
    <w:rsid w:val="61604F4F"/>
    <w:rsid w:val="62230545"/>
    <w:rsid w:val="63084FD9"/>
    <w:rsid w:val="65126DB0"/>
    <w:rsid w:val="65225480"/>
    <w:rsid w:val="65C573A0"/>
    <w:rsid w:val="665D2485"/>
    <w:rsid w:val="68760765"/>
    <w:rsid w:val="691B5DBA"/>
    <w:rsid w:val="69991F98"/>
    <w:rsid w:val="69D74021"/>
    <w:rsid w:val="6ABA061D"/>
    <w:rsid w:val="6B266526"/>
    <w:rsid w:val="6BA66029"/>
    <w:rsid w:val="6BA87F99"/>
    <w:rsid w:val="6CF676F9"/>
    <w:rsid w:val="6DD62CA4"/>
    <w:rsid w:val="6E647D14"/>
    <w:rsid w:val="6F7F06EE"/>
    <w:rsid w:val="70327D0F"/>
    <w:rsid w:val="72063269"/>
    <w:rsid w:val="7229553C"/>
    <w:rsid w:val="7294559D"/>
    <w:rsid w:val="72E31C46"/>
    <w:rsid w:val="739F35DC"/>
    <w:rsid w:val="7413490E"/>
    <w:rsid w:val="75545F8F"/>
    <w:rsid w:val="77AE704A"/>
    <w:rsid w:val="78B40156"/>
    <w:rsid w:val="79B06A06"/>
    <w:rsid w:val="7D2467D3"/>
    <w:rsid w:val="7D545172"/>
    <w:rsid w:val="7D9A0B9D"/>
    <w:rsid w:val="7EEF5DD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3"/>
    <w:basedOn w:val="1"/>
    <w:next w:val="1"/>
    <w:qFormat/>
    <w:uiPriority w:val="0"/>
    <w:pPr>
      <w:keepNext/>
      <w:keepLines/>
      <w:spacing w:line="413" w:lineRule="auto"/>
      <w:outlineLvl w:val="2"/>
    </w:pPr>
    <w:rPr>
      <w:b/>
      <w:sz w:val="32"/>
    </w:rPr>
  </w:style>
  <w:style w:type="character" w:default="1" w:styleId="13">
    <w:name w:val="Default Paragraph Font"/>
    <w:uiPriority w:val="0"/>
  </w:style>
  <w:style w:type="table" w:default="1" w:styleId="12">
    <w:name w:val="Normal Table"/>
    <w:semiHidden/>
    <w:uiPriority w:val="0"/>
    <w:tblPr>
      <w:tblStyle w:val="12"/>
      <w:tblCellMar>
        <w:top w:w="0" w:type="dxa"/>
        <w:left w:w="108" w:type="dxa"/>
        <w:bottom w:w="0" w:type="dxa"/>
        <w:right w:w="108" w:type="dxa"/>
      </w:tblCellMar>
    </w:tblPr>
  </w:style>
  <w:style w:type="paragraph" w:styleId="4">
    <w:name w:val="annotation text"/>
    <w:basedOn w:val="1"/>
    <w:uiPriority w:val="0"/>
    <w:pPr>
      <w:jc w:val="left"/>
    </w:pPr>
  </w:style>
  <w:style w:type="paragraph" w:styleId="5">
    <w:name w:val="Body Text"/>
    <w:basedOn w:val="1"/>
    <w:next w:val="6"/>
    <w:qFormat/>
    <w:uiPriority w:val="0"/>
    <w:rPr>
      <w:rFonts w:ascii="Calibri" w:hAnsi="Calibri" w:eastAsia="宋体" w:cs="Times New Roman"/>
      <w:szCs w:val="32"/>
      <w:lang w:bidi="bo-CN"/>
    </w:rPr>
  </w:style>
  <w:style w:type="paragraph" w:styleId="6">
    <w:name w:val="toc 5"/>
    <w:basedOn w:val="1"/>
    <w:next w:val="1"/>
    <w:qFormat/>
    <w:uiPriority w:val="0"/>
    <w:pPr>
      <w:ind w:left="1680" w:leftChars="800"/>
    </w:pPr>
    <w:rPr>
      <w:rFonts w:ascii="Calibri" w:hAnsi="Calibri" w:eastAsia="宋体" w:cs="Times New Roman"/>
      <w:szCs w:val="32"/>
      <w:lang w:bidi="bo-CN"/>
    </w:rPr>
  </w:style>
  <w:style w:type="paragraph" w:styleId="7">
    <w:name w:val="Balloon Text"/>
    <w:basedOn w:val="1"/>
    <w:uiPriority w:val="0"/>
    <w:rPr>
      <w:sz w:val="18"/>
      <w:szCs w:val="18"/>
    </w:rPr>
  </w:style>
  <w:style w:type="paragraph" w:styleId="8">
    <w:name w:val="footer"/>
    <w:basedOn w:val="1"/>
    <w:uiPriority w:val="0"/>
    <w:pPr>
      <w:tabs>
        <w:tab w:val="center" w:pos="4153"/>
        <w:tab w:val="right" w:pos="8306"/>
      </w:tabs>
      <w:snapToGrid w:val="0"/>
      <w:jc w:val="left"/>
    </w:pPr>
    <w:rPr>
      <w:sz w:val="18"/>
      <w:szCs w:val="18"/>
    </w:rPr>
  </w:style>
  <w:style w:type="paragraph" w:styleId="9">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uiPriority w:val="0"/>
    <w:pPr>
      <w:spacing w:before="100" w:beforeAutospacing="1" w:after="100" w:afterAutospacing="1"/>
      <w:ind w:left="0" w:right="0"/>
      <w:jc w:val="left"/>
    </w:pPr>
    <w:rPr>
      <w:kern w:val="0"/>
      <w:sz w:val="24"/>
      <w:lang w:val="en-US" w:eastAsia="zh-CN" w:bidi="ar"/>
    </w:rPr>
  </w:style>
  <w:style w:type="paragraph" w:styleId="11">
    <w:name w:val="annotation subject"/>
    <w:basedOn w:val="4"/>
    <w:next w:val="4"/>
    <w:uiPriority w:val="0"/>
    <w:rPr>
      <w:b/>
      <w:bCs/>
    </w:rPr>
  </w:style>
  <w:style w:type="character" w:styleId="14">
    <w:name w:val="page number"/>
    <w:basedOn w:val="13"/>
    <w:uiPriority w:val="0"/>
  </w:style>
  <w:style w:type="character" w:styleId="15">
    <w:name w:val="annotation reference"/>
    <w:uiPriority w:val="0"/>
    <w:rPr>
      <w:sz w:val="21"/>
      <w:szCs w:val="21"/>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1.e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3.emf"/><Relationship Id="rId11" Type="http://schemas.openxmlformats.org/officeDocument/2006/relationships/oleObject" Target="embeddings/oleObject3.bin"/><Relationship Id="rId10" Type="http://schemas.openxmlformats.org/officeDocument/2006/relationships/image" Target="media/image2.emf"/><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377</Words>
  <Characters>2154</Characters>
  <Lines>17</Lines>
  <Paragraphs>5</Paragraphs>
  <TotalTime>4</TotalTime>
  <ScaleCrop>false</ScaleCrop>
  <LinksUpToDate>false</LinksUpToDate>
  <CharactersWithSpaces>2526</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2016-03-10T01:23:00Z</dcterms:created>
  <dc:creator>微软用户</dc:creator>
  <cp:lastModifiedBy>A</cp:lastModifiedBy>
  <cp:lastPrinted>2024-04-08T09:38:00Z</cp:lastPrinted>
  <dcterms:modified xsi:type="dcterms:W3CDTF">2024-04-17T03:28:57Z</dcterms:modified>
  <dc:title>2013年度西藏自治区教育厅</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3237D5A03C2A46A8B71FAF2B0AF685EA</vt:lpwstr>
  </property>
</Properties>
</file>