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2023年度部门决算分析报告撰写提纲</w:t>
      </w:r>
    </w:p>
    <w:p>
      <w:pPr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（部门汇总版）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YS060101"/>
      <w:r>
        <w:rPr>
          <w:rFonts w:hint="eastAsia" w:ascii="黑体" w:hAnsi="黑体" w:eastAsia="黑体"/>
          <w:sz w:val="32"/>
          <w:szCs w:val="32"/>
        </w:rPr>
        <w:t>一、部门情况</w:t>
      </w:r>
      <w:bookmarkStart w:id="2" w:name="_GoBack"/>
      <w:bookmarkEnd w:id="2"/>
    </w:p>
    <w:bookmarkEnd w:id="0"/>
    <w:p>
      <w:pPr>
        <w:snapToGrid w:val="0"/>
        <w:spacing w:line="560" w:lineRule="exact"/>
        <w:ind w:firstLine="643" w:firstLineChars="200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</w:t>
      </w:r>
    </w:p>
    <w:p>
      <w:pPr>
        <w:spacing w:line="560" w:lineRule="exact"/>
        <w:ind w:firstLine="320" w:firstLineChars="1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根据中共类乌齐县委员会办公室关于印发《中共类乌齐县委员会政法委员会职能配置、内设机构和人员编制规定》的通知（〔2019〕63号）文件要求，职能如下：</w:t>
      </w:r>
    </w:p>
    <w:p>
      <w:pPr>
        <w:spacing w:line="560" w:lineRule="exact"/>
        <w:ind w:firstLine="160" w:firstLineChars="5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1、单位主要职能：</w:t>
      </w:r>
    </w:p>
    <w:p>
      <w:pPr>
        <w:spacing w:line="560" w:lineRule="exact"/>
        <w:ind w:firstLine="420" w:firstLineChars="1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（1）深入学习贯彻习近平新时代中国特色社会主义思想，深入贯彻党的路线方针政策和决策部署，统一政法各部门思想和行动，坚持党对政法工作的绝对领导，坚决维护党中央权威和集中统一领导。            （2）深入贯彻上级党委和县委部署，推进平安昌都、法治昌都建设，加强过硬政法队伍建设，深化智能化建设，坚决维护国家政治安全，确保昌都社会大局稳定，促进社会公平正义，保障人民安居乐业。 </w:t>
      </w:r>
    </w:p>
    <w:p>
      <w:pPr>
        <w:spacing w:line="560" w:lineRule="exact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（3）了解掌握和分析研判全县政法工作动态，分析社会稳定形势，创新完善多部门参与的综治维稳工作机制，协调应付和处置重大突发事件。 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（4）加强对全县各级政法工作的督查，统筹协调社会治安综合治理、维护社会稳定、反邪教有关发露法规政策的实施工作。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（5）组织开展全县政法领域的调查研究，研究拟订政法工作的重大措施，及时向县委提出建议。 </w:t>
      </w:r>
    </w:p>
    <w:p>
      <w:pPr>
        <w:spacing w:line="560" w:lineRule="exact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（6）掌握分析全县政法舆情动态，指导协调县政法法各部门媒体网络宣传工作，指导全县各级政法部门做好涉及政法工作的重大宣传工作。 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（7）统筹协调推进全县政法信息化建设工作，研究分析政法信息基础设施共建共享、互联互相和开放兼容的政策意见，指导政法各部门信息化平台建设工作。</w:t>
      </w:r>
    </w:p>
    <w:p>
      <w:pPr>
        <w:spacing w:line="560" w:lineRule="exact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（8）监督和支持县政法委部门依法行使职权，指导和协调政法部门密切配合，研究和协调重大、疑难案件，推进严格执法、公正司法。     （9）组织研究全县政法改革中带有方向性、倾向性和普遍性的重大问题，深化政法改革。 </w:t>
      </w:r>
    </w:p>
    <w:p>
      <w:pPr>
        <w:spacing w:line="560" w:lineRule="exact"/>
        <w:ind w:firstLine="140" w:firstLineChars="5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（10）指导推动全县政法系统党的建设和政法队伍建设。</w:t>
      </w:r>
    </w:p>
    <w:p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（11）完成市委政法委、县委交办的其他任务。</w:t>
      </w:r>
    </w:p>
    <w:p>
      <w:pPr>
        <w:spacing w:line="560" w:lineRule="exact"/>
        <w:ind w:firstLine="280" w:firstLineChars="1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根据关于类乌齐县政法委所属事业单位机构编制有关事项的通知（类机编发〔2020〕12号）文件要求，工作职责如下：负责拟订网格化管理的长期规划和年度计划并组织实施；负责社会政治稳定信息、治安信息、民生信息的定期排查、收集、整理、汇总、分析、上报；提供案件线索，协助办理各类案件；协助做好重点人员管控工作；负责网格员队伍的建设、培训、管理和业务指导工作；承办县委政法委员会交办的其他事项。</w:t>
      </w:r>
    </w:p>
    <w:p>
      <w:pPr>
        <w:spacing w:line="560" w:lineRule="exact"/>
        <w:ind w:firstLine="300" w:firstLineChars="100"/>
        <w:rPr>
          <w:rFonts w:hint="eastAsia" w:eastAsia="仿宋"/>
          <w:color w:val="00000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（2）、机构及人员情况：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实际13人，其中：在职人员：13人（含援藏干部0人）。其中：行政在编 7人，事业在编（含参公 ）5人，机关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工人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1人。</w:t>
      </w:r>
    </w:p>
    <w:p>
      <w:pPr>
        <w:spacing w:line="560" w:lineRule="exact"/>
        <w:ind w:firstLine="300" w:firstLineChars="1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（3）、公务用车辆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编制1辆，实际1辆，其中：越野车1辆，无超编、超标准、超范围配备车辆。</w:t>
      </w:r>
    </w:p>
    <w:p>
      <w:pPr>
        <w:numPr>
          <w:ilvl w:val="0"/>
          <w:numId w:val="1"/>
        </w:numPr>
        <w:snapToGrid w:val="0"/>
        <w:spacing w:line="560" w:lineRule="exact"/>
        <w:ind w:firstLine="315" w:firstLineChars="98"/>
        <w:rPr>
          <w:rFonts w:hint="eastAsia" w:ascii="仿宋_GB2312" w:hAnsi="仿宋_GB2312" w:eastAsia="仿宋_GB2312" w:cs="仿宋_GB2312"/>
          <w:sz w:val="32"/>
          <w:szCs w:val="32"/>
          <w:lang w:bidi="bo-CN"/>
        </w:rPr>
      </w:pPr>
      <w:r>
        <w:rPr>
          <w:rFonts w:hint="eastAsia" w:ascii="楷体_GB2312" w:hAnsi="仿宋" w:eastAsia="楷体_GB2312"/>
          <w:b/>
          <w:sz w:val="32"/>
          <w:szCs w:val="32"/>
        </w:rPr>
        <w:t>当年取得的主要事业成效。</w:t>
      </w:r>
      <w:r>
        <w:rPr>
          <w:rFonts w:hint="eastAsia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一）全面加强平安建设协调机制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bo-CN"/>
        </w:rPr>
        <w:t>制定下发了《中共类乌齐县委员会平安类乌齐建设领导小组工作规则》和《平安类乌齐建设领导小组办公室工作细则》。县平安办充分发挥指导、协调作用，加强对平安建设领域、各层面、各环节的精准指导，定期梳理进展情况，定期研究分析存在问题，通过督办等方式压实责任，着力促进平安建设均衡发展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（二）强化推动平安建设领导责任制落实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bidi="bo-CN"/>
        </w:rPr>
        <w:t>强化领导责任。全县各级各部门加强对平安建设工作的领导，主要负责同志履行第一责任人，亲自研究部署，切实解决工作中的重大问题；分管领导履行直接责任人，靠前指挥、检查督促，确保各项工作任务落到实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bo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bidi="bo-CN"/>
        </w:rPr>
        <w:t>强化部门责任。制定印发了《2023年平安类乌齐建设工作实施方案》，各成员单位做到知责明责，主动认领任务。对本部门牵头事项，主要领导要亲自研究，主动协调统筹，按照“清单制+责任制”要求，逐项分解成可量化、可评价的阶段性目标，确保工作有条不紊、高效推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bidi="bo-CN"/>
        </w:rPr>
        <w:t>完善领导责任机制。县委、政府把“平安类乌齐”建设工作纳入本地经济社会发展总体规划，统一组织实施。各级党政主要领导切实把“平安类乌齐”建设工作做为“一把手”工程来抓，严格履行保一方平安、维护一方稳定的政治责任，推动“平安类乌齐”建设工作深入开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bo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bidi="bo-CN"/>
        </w:rPr>
        <w:t>完善激励制约机制。县委、政府把“平安类乌齐”建设工作做为评价党政领导班子和领导干部的重要内容，与干部晋职晋级和奖惩联系挂钩。进一步健全和落实《昌都市贯彻落实&lt;西藏自治区平安建设领导责任制实施办法（实行）&gt;实施细则》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（三）坚决维护国家政治安全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落实《昌都市2023年维护政治安全工作细化任务分工方案》，狠抓各项措施落实，全力维护国家政治安全。以“两节”“两会”三月等敏感节点维稳安保工作为重点,先后召开维护社会稳定工作部署会议、推进会等，进一步加强各类风险评估,制定严谨周密的维稳安保方案、工作预案，深入开展反邪教工作，抓好社会面防控、重大活动安保等关键环节，确保政治安全防控到位、社会稳定维护到位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kern w:val="44"/>
          <w:sz w:val="32"/>
          <w:szCs w:val="32"/>
        </w:rPr>
        <w:t>（四）防范化解社会风险</w:t>
      </w:r>
    </w:p>
    <w:p>
      <w:pPr>
        <w:spacing w:line="560" w:lineRule="exact"/>
        <w:ind w:firstLine="321" w:firstLineChars="1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1.健全“严打”整治体系。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严打”方针不动摇，依法严厉打击严重刑事犯罪和敌对势力的渗透破坏活动。将“严打”方针贯彻落实到侦查破案、批捕起拆、定罪量刑、等各个环节中去，形成高压震慑态势。持续深入开展打击侵财性犯罪、“电信诈骗”等，建立健全对治安混乱地区和突出治安问题定期排查制度，找出问题症结，组织有关部门共同进行整治，限期改变面貌。</w:t>
      </w:r>
    </w:p>
    <w:p>
      <w:pPr>
        <w:spacing w:line="560" w:lineRule="exact"/>
        <w:ind w:firstLine="315" w:firstLineChars="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2.健全矛盾纠纷排查调处体系。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常态化矛盾风险隐患排查工作，完善党委、政府统一领导，综治部门组织协调，各有关部门齐抓共管、整体联动的矛盾纠纷排查调处工作格局。按照“发现得早，化解得了，控制得住，处置得好”的要求，积极预防并及时化解各类矛盾纠纷，妥善处置群体性事件。</w:t>
      </w:r>
    </w:p>
    <w:p>
      <w:pPr>
        <w:spacing w:line="560" w:lineRule="exact"/>
        <w:ind w:firstLine="315" w:firstLineChars="98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3.围绕行业乱象，不断推进常态化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bo-CN"/>
        </w:rPr>
        <w:t>saohei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除恶斗争。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bo-CN"/>
        </w:rPr>
        <w:t>saohei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常态化工作部署会、推进会，制定印发了《类乌齐县2023年常态化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bo-CN"/>
        </w:rPr>
        <w:t>saohei</w:t>
      </w:r>
      <w:r>
        <w:rPr>
          <w:rFonts w:hint="eastAsia" w:ascii="仿宋_GB2312" w:hAnsi="仿宋_GB2312" w:eastAsia="仿宋_GB2312" w:cs="仿宋_GB2312"/>
          <w:sz w:val="32"/>
          <w:szCs w:val="32"/>
        </w:rPr>
        <w:t>除恶斗工作方案》《类乌齐县2023年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bo-CN"/>
        </w:rPr>
        <w:t>saohei</w:t>
      </w:r>
      <w:r>
        <w:rPr>
          <w:rFonts w:hint="eastAsia" w:ascii="仿宋_GB2312" w:hAnsi="仿宋_GB2312" w:eastAsia="仿宋_GB2312" w:cs="仿宋_GB2312"/>
          <w:sz w:val="32"/>
          <w:szCs w:val="32"/>
        </w:rPr>
        <w:t>除恶工作要点》等重要文件，紧紧围绕巩固专项斗争成果，抓好“十件实事”，深入宣传《反有组织犯罪法》和《反有组织犯罪法》动漫藏汉视频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315" w:firstLineChars="98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4.围绕命案防控和预防打击，不断巩固人民群众安全感。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牢固树立“命案必防”“命案可防”的理念，坚持系统治理、依法治理、综合治理、源头治理，坚持专群结合、群防群治，从事前、事中、事后全环节、全过程、全要素扎实开展命案防控攻坚工作，制定《类乌齐县命案防控工作实施方案》，压实工作任务、细化防范措施、建立协调机制、完善防控和预防体系建设，最大限度预防命案的发生，进一步增强人民群众获得感、幸福感、安全感。结合夏季治安打击整治行动和“平安守护 冬季巡防”社会治安大清查大排查大整治行动，强化枪支弹药、管制刀具收缴力度，全力消除社会治安隐患。</w:t>
      </w:r>
    </w:p>
    <w:p>
      <w:pPr>
        <w:numPr>
          <w:ilvl w:val="0"/>
          <w:numId w:val="2"/>
        </w:numPr>
        <w:spacing w:line="560" w:lineRule="exact"/>
        <w:ind w:firstLine="315" w:firstLineChars="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围绕平安建设宣传工作，不断巩固法治类乌齐建设。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“3月平安建设宣传月”、“6月平安建设宣传周”、“9·16平安西藏宣传日”等法定平安建设宣传日期，以“千名干部进千村、法律知识送万家”法治宣传等活动契机，采取“平安建设宣传活动暨普法行系列法治宣传活动”等形式，大力开展普法教育进乡村、进寺庙、进学校等活动，不断巩固法治类乌齐建设。</w:t>
      </w:r>
    </w:p>
    <w:p>
      <w:pPr>
        <w:numPr>
          <w:numId w:val="0"/>
        </w:numPr>
        <w:spacing w:line="560" w:lineRule="exact"/>
        <w:ind w:firstLine="321" w:firstLineChars="1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6.围绕特殊人群服务管理工作，加强重点人员服务管理工作。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《昌都市重点人员管控转化工作实施细则（试行）》、《西藏自治区肇事肇祸等严重精神障碍患者摸排管控工作实施方案》等文件精神，有效预防重点人员人群脱管漏管失控的事件发生，认真重点人员的管控措施，及时掌握动态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kern w:val="44"/>
          <w:sz w:val="32"/>
          <w:szCs w:val="32"/>
        </w:rPr>
        <w:t>（五）防范化解公共风险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始终坚持“安全第一、预防为主、综合治理”的方针，压实安全生产“党政同责、一岗双责”责任，以重大事故隐患排查整治行动2023行动的为抓手，全覆盖开展多轮安全生产大检查大排查，重点对危险化学品、矿山、工贸、道路交通、建筑施工、城镇燃气、民用爆炸物品、消防安全等行业领域开展大排查大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320" w:firstLineChars="100"/>
        <w:rPr>
          <w:rFonts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（六）打赢网络意识形态斗争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落实党中央和区党委关于网络意识形态斗争的决策部署，紧紧围绕打赢网上斗争目标，突出打击达赖集团反宣渗透这个重点内容，持续加大网络生态治理力度，深入整治网上各类违法违规问题乱象。网信办、网安大队始终坚持抓住关键加强舆情监督，做好网上舆论监督引导，重点抓住政治类有害信息、全国“两会”和宗教活动等敏感和焦点问题，严格落实24小时值班制度，发挥监督员作用，利用新闻网站、微信公众号、微信、微博、抖音等媒体，把握正确舆论导向，做好相关舆情引导，营造积极正面向上的正能量氛围。网信办等部门常态化开展联合检查、宣传活动和五大专项行动，重点针对互联网、学校周边、文化经营场所，开展专项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严厉打击了违法经营、非法出版等涉黄涉黑行为，严防意识形态冲击与西方文化渗透。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（七）打通基层治理堵点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1.围绕基层治理工作，不断巩固平安类乌齐成果。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通过召开“类乌齐县提升基层治理体系和治理能力现代化工作部署会议”、“类乌齐县基层社会治理推进会议”等，认真贯彻落实区党委和市委关于社会治理的部署要求。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聚焦党建引领，进一步完善治理的“大合力”。县委始终高度重视基层治理工作，十届县委六次全会把基层治理工作作为全县重点任务进行细化安排，细化党建引领基层社会治理工作要点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聚焦网格管理，进一步完善治理的“大格局”。共划分网格，通过优化网格单元，拉近服务距离，实现服务管理“精细化”。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聚焦指挥体系，进一步完善治理的“大保障”。严格落实“7+1”“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五妨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五稳</w:t>
      </w:r>
      <w:r>
        <w:rPr>
          <w:rFonts w:hint="eastAsia" w:ascii="仿宋_GB2312" w:hAnsi="仿宋_GB2312" w:eastAsia="仿宋_GB2312" w:cs="仿宋_GB2312"/>
          <w:sz w:val="32"/>
          <w:szCs w:val="32"/>
        </w:rPr>
        <w:t>”维稳防控模式，通过三级中心，指挥调度网格员“前哨”作用，落实“三查一会商”机制，有效了解掌握社情民意。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2.健全综治基层基础工作体系。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进综治基层基础建工作，加强各级平安建设组织机构建设，严格落实由党、政主要负责同志双组长制，健全完善基层治保委员会的建设，保障“平安类乌齐”建设的顺利进行。加强乡镇平安建设领导小组办公室建设，按照《中共昌都市委员会办公室 昌都市人民政府办公室印发&lt;关于推进基层整合审批服务执法力量的实施方案&gt;的通知》（昌党办发[2021]14号）有关规定，乡镇挂牌平安建设办公室，完善平安建设员队伍指挥体系建设，广泛组织平安建设员参与治安防范；加强对公安派出所、司法所、人民法庭、社区警务站的督促力度，发挥他们在基层社会稳定工作中的骨干作用。加强治保、帮教、调解、法律援助、治安巡防、单位内保等组织建设，搞好兼职法制副校长和法制辅导员的选配工作，充分发挥新时代群防群治力量的作用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3.健全“三项重点”工作助推体系。一是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深入开展“先进双联户”创建活动。认真开展十项联户活动，动员全县户长积极参与群防群治工作。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二是不断深化网格化服务管理工作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建立起“网格化管理、信息化支撑、全程化服务”治理架构，搭建起市域社会治理实战化平台。</w:t>
      </w:r>
    </w:p>
    <w:p>
      <w:pPr>
        <w:pStyle w:val="3"/>
        <w:spacing w:line="560" w:lineRule="exact"/>
        <w:ind w:firstLine="320" w:firstLineChars="1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二、亮点特色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1.强化平安建设督促落实。</w:t>
      </w:r>
      <w:r>
        <w:rPr>
          <w:rFonts w:hint="eastAsia" w:ascii="仿宋_GB2312" w:hAnsi="仿宋_GB2312" w:eastAsia="仿宋_GB2312" w:cs="仿宋_GB2312"/>
          <w:sz w:val="32"/>
        </w:rPr>
        <w:t>县平安办每月对各乡（镇）、各成员单位落实平安建设各项措施进行了梳理，重点对社会治安情况、命案攻坚、基层社会治理、意识形态、公共安全等方面进行了总结，通报存在的问题，对下个月平安建设工作进行安排，有力有序推动平安建设深入开展。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bo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bidi="bo-CN"/>
        </w:rPr>
        <w:t>.依托基层治保力量，建设人民众治防线。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平安建设员队伍相关工作要求，广泛组织村居“双联户”户长、农牧民党员、共青团员、基层民兵、机关党员志愿者和部分享受国家政策性补贴人员参与治安防范，同时进一步加大社情民情收集力度，建立多渠道、多行业的民生信息员队伍，最大限度地把人民群众组织起来，形成人人参与“平安建设”的工作格局。</w:t>
      </w:r>
    </w:p>
    <w:p>
      <w:pPr>
        <w:spacing w:line="560" w:lineRule="exact"/>
        <w:ind w:firstLine="320" w:firstLineChars="100"/>
      </w:pPr>
      <w:r>
        <w:rPr>
          <w:rFonts w:hint="eastAsia" w:ascii="楷体_GB2312" w:hAnsi="楷体_GB2312" w:eastAsia="楷体_GB2312" w:cs="楷体_GB2312"/>
          <w:sz w:val="32"/>
          <w:szCs w:val="32"/>
        </w:rPr>
        <w:t>4.完善基层社会治理体系。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出台了《类乌齐县关于进一步提升基层治理暨“三级中心三级网格”建设工作实施方案》，因地制宜整合现有资源、人员、设施，全面推进县、乡、村三级综治网格中心规范化建设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协调运行机制。依托综治中心平台，发挥综治中心功能，以乡（镇）综治中心为主，突出村（社）综治中心作用，健全乡（镇）、村（社）综治中心在不同戒备等级下维稳防控措施和要素，确保指挥高效、协调顺畅，打造“一线指挥部”。夯实基层基础工作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1" w:name="YS060102"/>
      <w:r>
        <w:rPr>
          <w:rFonts w:hint="eastAsia" w:ascii="黑体" w:hAnsi="黑体" w:eastAsia="黑体"/>
          <w:sz w:val="32"/>
          <w:szCs w:val="32"/>
        </w:rPr>
        <w:t>二、收入支出预算执行情况分析</w:t>
      </w:r>
    </w:p>
    <w:bookmarkEnd w:id="1"/>
    <w:p>
      <w:pPr>
        <w:snapToGrid w:val="0"/>
        <w:spacing w:line="560" w:lineRule="exact"/>
        <w:outlineLvl w:val="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（一）收入支出预算安排情况。</w:t>
      </w:r>
    </w:p>
    <w:p>
      <w:pPr>
        <w:snapToGrid w:val="0"/>
        <w:spacing w:line="560" w:lineRule="exact"/>
        <w:outlineLvl w:val="0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pict>
          <v:shape id="Object 2" o:spid="_x0000_s2050" o:spt="75" type="#_x0000_t75" style="position:absolute;left:0pt;margin-left:7.8pt;margin-top:18.95pt;height:111.55pt;width:364.45pt;mso-wrap-distance-bottom:0pt;mso-wrap-distance-left:9pt;mso-wrap-distance-right:9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  <o:OLEObject Type="Embed" ProgID="Excel.Chart.8" ShapeID="Object 2" DrawAspect="Content" ObjectID="_1468075725" r:id="rId4">
            <o:LockedField>false</o:LockedField>
          </o:OLEObject>
        </w:pict>
      </w:r>
    </w:p>
    <w:p>
      <w:pPr>
        <w:snapToGrid w:val="0"/>
        <w:spacing w:line="560" w:lineRule="exact"/>
        <w:outlineLvl w:val="0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snapToGrid w:val="0"/>
        <w:spacing w:line="560" w:lineRule="exact"/>
        <w:outlineLvl w:val="0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snapToGrid w:val="0"/>
        <w:spacing w:line="560" w:lineRule="exact"/>
        <w:outlineLvl w:val="0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snapToGrid w:val="0"/>
        <w:spacing w:line="560" w:lineRule="exact"/>
        <w:ind w:firstLine="313" w:firstLineChars="98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当年收入支出预算执行基本情况，与上年度对比情况，包括增减绝对值与幅度，增减变动主要原因(可用柱形图或折线图)。</w:t>
      </w:r>
    </w:p>
    <w:p>
      <w:pPr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1．收入支出与预算对比分析</w:t>
      </w:r>
      <w:r>
        <w:rPr>
          <w:rFonts w:hint="eastAsia" w:ascii="仿宋_GB2312" w:hAnsi="仿宋" w:eastAsia="仿宋_GB2312"/>
          <w:b/>
          <w:sz w:val="32"/>
          <w:szCs w:val="32"/>
        </w:rPr>
        <w:pict>
          <v:shape id="Object 3" o:spid="_x0000_s2051" o:spt="75" type="#_x0000_t75" style="position:absolute;left:0pt;margin-left:22.95pt;margin-top:39.4pt;height:118.05pt;width:379.0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topAndBottom"/>
          </v:shape>
          <o:OLEObject Type="Embed" ProgID="Excel.Chart.8" ShapeID="Object 3" DrawAspect="Content" ObjectID="_1468075726" r:id="rId6">
            <o:LockedField>false</o:LockedField>
          </o:OLEObject>
        </w:pict>
      </w:r>
    </w:p>
    <w:p>
      <w:pPr>
        <w:snapToGrid w:val="0"/>
        <w:spacing w:line="560" w:lineRule="exact"/>
        <w:ind w:firstLine="1280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ind w:firstLine="315" w:firstLineChars="98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2.收入支出结构分析。</w:t>
      </w:r>
    </w:p>
    <w:p>
      <w:pPr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pict>
          <v:shape id="_x0000_s2052" o:spid="_x0000_s2052" o:spt="75" type="#_x0000_t75" style="position:absolute;left:0pt;margin-left:18.65pt;margin-top:12.05pt;height:111.55pt;width:364.45pt;mso-wrap-distance-bottom:0pt;mso-wrap-distance-left:9pt;mso-wrap-distance-right:9pt;mso-wrap-distance-top:0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square"/>
          </v:shape>
          <o:OLEObject Type="Embed" ProgID="Excel.Chart.8" ShapeID="_x0000_s2052" DrawAspect="Content" ObjectID="_1468075727" r:id="rId8">
            <o:LockedField>false</o:LockedField>
          </o:OLEObject>
        </w:pict>
      </w:r>
    </w:p>
    <w:p>
      <w:pPr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napToGrid w:val="0"/>
        <w:spacing w:line="560" w:lineRule="exact"/>
        <w:ind w:firstLine="315" w:firstLineChars="98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3.支出按经济分类科目分析。</w:t>
      </w:r>
    </w:p>
    <w:p>
      <w:pPr>
        <w:snapToGrid w:val="0"/>
        <w:spacing w:line="560" w:lineRule="exact"/>
        <w:ind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（1）公用经费支出情况：2023年度公用经费预算147114.09元，其中“三公”经费支出26956.09元；公用经费支出120158元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315" w:firstLineChars="98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4.财政拨款收入、支出分析。</w:t>
      </w:r>
    </w:p>
    <w:p>
      <w:pPr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2023年财政拨款5447546.79元，支出5447546.79元</w:t>
      </w:r>
    </w:p>
    <w:p>
      <w:pPr>
        <w:snapToGrid w:val="0"/>
        <w:spacing w:line="560" w:lineRule="exact"/>
        <w:ind w:firstLine="315" w:firstLineChars="98"/>
        <w:outlineLvl w:val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5.非财政拨款收入分析</w:t>
      </w:r>
      <w:r>
        <w:rPr>
          <w:rFonts w:hint="eastAsia" w:ascii="仿宋_GB2312" w:hAnsi="仿宋" w:eastAsia="仿宋_GB2312"/>
          <w:sz w:val="32"/>
          <w:szCs w:val="32"/>
        </w:rPr>
        <w:t>无</w:t>
      </w:r>
    </w:p>
    <w:p>
      <w:pPr>
        <w:snapToGrid w:val="0"/>
        <w:spacing w:line="560" w:lineRule="exact"/>
        <w:ind w:firstLine="321" w:firstLineChars="100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（三）年末结转和结余情况。</w:t>
      </w:r>
    </w:p>
    <w:p>
      <w:pPr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年末结转62686.06元。</w:t>
      </w:r>
    </w:p>
    <w:p>
      <w:pPr>
        <w:spacing w:line="560" w:lineRule="exact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   </w:t>
      </w:r>
    </w:p>
    <w:p>
      <w:pPr>
        <w:spacing w:line="560" w:lineRule="exact"/>
        <w:rPr>
          <w:rFonts w:hint="eastAsia" w:ascii="楷体_GB2312" w:hAnsi="仿宋" w:eastAsia="楷体_GB2312"/>
          <w:b/>
          <w:sz w:val="32"/>
          <w:szCs w:val="32"/>
        </w:rPr>
      </w:pPr>
    </w:p>
    <w:p>
      <w:pPr>
        <w:spacing w:line="560" w:lineRule="exact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 xml:space="preserve">               </w:t>
      </w:r>
      <w:r>
        <w:rPr>
          <w:rFonts w:hint="eastAsia" w:ascii="楷体_GB2312" w:hAnsi="仿宋" w:eastAsia="楷体_GB2312"/>
          <w:b/>
          <w:sz w:val="32"/>
          <w:szCs w:val="32"/>
        </w:rPr>
        <w:t xml:space="preserve">中共西藏类乌齐县委员会政法委员会    </w:t>
      </w:r>
    </w:p>
    <w:p>
      <w:pPr>
        <w:spacing w:line="560" w:lineRule="exact"/>
        <w:rPr>
          <w:rFonts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b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楷体_GB2312" w:hAnsi="仿宋" w:eastAsia="楷体_GB2312"/>
          <w:b/>
          <w:sz w:val="32"/>
          <w:szCs w:val="32"/>
        </w:rPr>
        <w:t>2024年1月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CF0471"/>
    <w:multiLevelType w:val="singleLevel"/>
    <w:tmpl w:val="A0CF04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AB6E08"/>
    <w:multiLevelType w:val="singleLevel"/>
    <w:tmpl w:val="3CAB6E0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A52"/>
    <w:rsid w:val="00054F51"/>
    <w:rsid w:val="004241C7"/>
    <w:rsid w:val="004961EE"/>
    <w:rsid w:val="004D085D"/>
    <w:rsid w:val="00596EFB"/>
    <w:rsid w:val="005A0C5F"/>
    <w:rsid w:val="005D264E"/>
    <w:rsid w:val="0064660D"/>
    <w:rsid w:val="00712A52"/>
    <w:rsid w:val="00856002"/>
    <w:rsid w:val="00D10665"/>
    <w:rsid w:val="060E5AE9"/>
    <w:rsid w:val="06127521"/>
    <w:rsid w:val="06BF28BE"/>
    <w:rsid w:val="08133A3E"/>
    <w:rsid w:val="0DBD6E1C"/>
    <w:rsid w:val="16067455"/>
    <w:rsid w:val="177A4DC5"/>
    <w:rsid w:val="1B8D5EA8"/>
    <w:rsid w:val="1BFB0C9D"/>
    <w:rsid w:val="20055E88"/>
    <w:rsid w:val="24E26FCB"/>
    <w:rsid w:val="259F57F9"/>
    <w:rsid w:val="2732441C"/>
    <w:rsid w:val="29444233"/>
    <w:rsid w:val="2B1266FF"/>
    <w:rsid w:val="2B314BD0"/>
    <w:rsid w:val="2C761CB4"/>
    <w:rsid w:val="31647874"/>
    <w:rsid w:val="376D4921"/>
    <w:rsid w:val="37B2580F"/>
    <w:rsid w:val="3B8855D9"/>
    <w:rsid w:val="3E2846F0"/>
    <w:rsid w:val="3FBD1499"/>
    <w:rsid w:val="40BB6E56"/>
    <w:rsid w:val="40D5167E"/>
    <w:rsid w:val="45584E3D"/>
    <w:rsid w:val="479556C8"/>
    <w:rsid w:val="47BA7D13"/>
    <w:rsid w:val="4CA31E45"/>
    <w:rsid w:val="4E7219DE"/>
    <w:rsid w:val="50D5506F"/>
    <w:rsid w:val="53A07426"/>
    <w:rsid w:val="550262D2"/>
    <w:rsid w:val="56165699"/>
    <w:rsid w:val="59736170"/>
    <w:rsid w:val="5A876B75"/>
    <w:rsid w:val="5CBC3CAC"/>
    <w:rsid w:val="5EF23E07"/>
    <w:rsid w:val="61C060CF"/>
    <w:rsid w:val="66F10C39"/>
    <w:rsid w:val="675730DF"/>
    <w:rsid w:val="683459AD"/>
    <w:rsid w:val="6B4B0AE7"/>
    <w:rsid w:val="70EB7CC3"/>
    <w:rsid w:val="76327530"/>
    <w:rsid w:val="781C5C0F"/>
    <w:rsid w:val="79E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qFormat/>
    <w:uiPriority w:val="0"/>
    <w:rPr>
      <w:rFonts w:ascii="Calibri" w:hAnsi="Calibri"/>
      <w:szCs w:val="32"/>
      <w:lang w:bidi="bo-CN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Calibri" w:hAnsi="Calibri"/>
      <w:szCs w:val="32"/>
      <w:lang w:bidi="bo-CN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sz w:val="32"/>
      <w:szCs w:val="24"/>
    </w:rPr>
  </w:style>
  <w:style w:type="character" w:customStyle="1" w:styleId="12">
    <w:name w:val="正文文本 Char"/>
    <w:basedOn w:val="7"/>
    <w:link w:val="3"/>
    <w:uiPriority w:val="0"/>
    <w:rPr>
      <w:rFonts w:ascii="Calibri" w:hAnsi="Calibri" w:eastAsia="宋体" w:cs="Times New Roman"/>
      <w:szCs w:val="32"/>
      <w:lang w:bidi="bo-CN"/>
    </w:rPr>
  </w:style>
  <w:style w:type="character" w:customStyle="1" w:styleId="13">
    <w:name w:val="正文文本 Char1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1005</Words>
  <Characters>5729</Characters>
  <Lines>47</Lines>
  <Paragraphs>13</Paragraphs>
  <ScaleCrop>false</ScaleCrop>
  <LinksUpToDate>false</LinksUpToDate>
  <CharactersWithSpaces>6721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2024-04-11T08:45:00Z</dcterms:created>
  <dc:creator>Administrator</dc:creator>
  <cp:lastModifiedBy>Administrator</cp:lastModifiedBy>
  <cp:lastPrinted>2024-04-22T04:25:22Z</cp:lastPrinted>
  <dcterms:modified xsi:type="dcterms:W3CDTF">2024-04-22T04:49:14Z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